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CC" w:rsidRPr="004453CC" w:rsidRDefault="004453CC" w:rsidP="004453CC">
      <w:pPr>
        <w:spacing w:before="120" w:line="240" w:lineRule="auto"/>
        <w:jc w:val="both"/>
        <w:rPr>
          <w:rFonts w:ascii="Calibri" w:eastAsia="Times New Roman" w:hAnsi="Calibri" w:cs="Calibri"/>
          <w:color w:val="000000"/>
        </w:rPr>
      </w:pPr>
      <w:bookmarkStart w:id="0" w:name="_GoBack"/>
      <w:r w:rsidRPr="004453CC">
        <w:rPr>
          <w:rFonts w:ascii="Arial" w:eastAsia="Times New Roman" w:hAnsi="Arial" w:cs="Arial"/>
          <w:b/>
          <w:bCs/>
          <w:color w:val="000000"/>
          <w:sz w:val="20"/>
          <w:szCs w:val="20"/>
        </w:rPr>
        <w:t>NSE LISTING AGREEMENT - PART III</w:t>
      </w:r>
      <w:bookmarkEnd w:id="0"/>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b/>
          <w:bCs/>
          <w:color w:val="000000"/>
          <w:sz w:val="20"/>
          <w:szCs w:val="20"/>
        </w:rPr>
        <w:t>51. EDIFAR FILING</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The company agrees that it shall file the following information, statements and reports on the Electronic Data Information Filing and Retrieval (EDIFAR) 1[web site maintained by National Informatics Center (NIC)]1, on-line, in such manner and format and within such time as may be specified by SEBI:</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Full version of annual report including the balance sheet, profit and loss account, director´s report and auditor´s report; cash flow statements; half yearly financial statements quarterly financial statements.</w:t>
      </w:r>
    </w:p>
    <w:p w:rsidR="004453CC" w:rsidRPr="004453CC" w:rsidRDefault="004453CC" w:rsidP="004453CC">
      <w:pPr>
        <w:spacing w:before="120" w:line="240" w:lineRule="auto"/>
        <w:jc w:val="both"/>
        <w:rPr>
          <w:rFonts w:ascii="Calibri" w:eastAsia="Times New Roman" w:hAnsi="Calibri" w:cs="Calibri"/>
          <w:color w:val="000000"/>
        </w:rPr>
      </w:pPr>
      <w:proofErr w:type="gramStart"/>
      <w:r w:rsidRPr="004453CC">
        <w:rPr>
          <w:rFonts w:ascii="Arial" w:eastAsia="Times New Roman" w:hAnsi="Arial" w:cs="Arial"/>
          <w:color w:val="000000"/>
          <w:sz w:val="20"/>
          <w:szCs w:val="20"/>
        </w:rPr>
        <w:t>Corporate governance report.</w:t>
      </w:r>
      <w:proofErr w:type="gramEnd"/>
    </w:p>
    <w:p w:rsidR="004453CC" w:rsidRPr="004453CC" w:rsidRDefault="004453CC" w:rsidP="004453CC">
      <w:pPr>
        <w:spacing w:before="120" w:line="240" w:lineRule="auto"/>
        <w:jc w:val="both"/>
        <w:rPr>
          <w:rFonts w:ascii="Calibri" w:eastAsia="Times New Roman" w:hAnsi="Calibri" w:cs="Calibri"/>
          <w:color w:val="000000"/>
        </w:rPr>
      </w:pPr>
      <w:proofErr w:type="gramStart"/>
      <w:r w:rsidRPr="004453CC">
        <w:rPr>
          <w:rFonts w:ascii="Arial" w:eastAsia="Times New Roman" w:hAnsi="Arial" w:cs="Arial"/>
          <w:color w:val="000000"/>
          <w:sz w:val="20"/>
          <w:szCs w:val="20"/>
        </w:rPr>
        <w:t>Shareholding pattern statement.</w:t>
      </w:r>
      <w:proofErr w:type="gramEnd"/>
    </w:p>
    <w:p w:rsidR="004453CC" w:rsidRPr="004453CC" w:rsidRDefault="004453CC" w:rsidP="004453CC">
      <w:pPr>
        <w:spacing w:before="120" w:line="240" w:lineRule="auto"/>
        <w:jc w:val="both"/>
        <w:rPr>
          <w:rFonts w:ascii="Calibri" w:eastAsia="Times New Roman" w:hAnsi="Calibri" w:cs="Calibri"/>
          <w:color w:val="000000"/>
        </w:rPr>
      </w:pPr>
      <w:proofErr w:type="gramStart"/>
      <w:r w:rsidRPr="004453CC">
        <w:rPr>
          <w:rFonts w:ascii="Arial" w:eastAsia="Times New Roman" w:hAnsi="Arial" w:cs="Arial"/>
          <w:color w:val="000000"/>
          <w:sz w:val="20"/>
          <w:szCs w:val="20"/>
        </w:rPr>
        <w:t>Statement of action taken against the company by any regulatory agency.</w:t>
      </w:r>
      <w:proofErr w:type="gramEnd"/>
      <w:r w:rsidRPr="004453CC">
        <w:rPr>
          <w:rFonts w:ascii="Arial" w:eastAsia="Times New Roman" w:hAnsi="Arial" w:cs="Arial"/>
          <w:color w:val="000000"/>
          <w:sz w:val="20"/>
          <w:szCs w:val="20"/>
        </w:rPr>
        <w:t xml:space="preserve"> Such other statement, information or report as may be specified by SEBI from time to time in this regard.</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Provided that the requirement of this clause shall be in addition to and not in derogation from the requirements of other clauses of this listing agreement, which may require filing of any statements, reports and information in the physical or other form with the exchange.</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2.</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The company agrees that it shall appoint a compliance officer who shall be responsible for filing the above information in the EDIFAR system. The compliance officer and the company shall ensure the correctness and authenticity of the information filed in the system and that it is in conformity with applicable laws and terms of the listing agreement.</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3.</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The company undertakes that while filing the information in the EDIFAR system, it shall make the following disclaimer clause:</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 xml:space="preserve">''The information furnished above is certified by [company´s name] to be true, fair and accurate (except in respect of errors in or omissions from documents filed electronically that result solely from electronic transmission errors beyond our control and in respect of which we take corrective action as soon as it is reasonably practicable after becoming aware of the error or the omission). SEBI, the Stock Exchanges or the NIC do not take any responsibility for the accuracy, validity, consistency and integrity of the data entered and updated by it.´ </w:t>
      </w:r>
      <w:proofErr w:type="gramStart"/>
      <w:r w:rsidRPr="004453CC">
        <w:rPr>
          <w:rFonts w:ascii="Arial" w:eastAsia="Times New Roman" w:hAnsi="Arial" w:cs="Arial"/>
          <w:color w:val="000000"/>
          <w:sz w:val="20"/>
          <w:szCs w:val="20"/>
        </w:rPr>
        <w:t>The</w:t>
      </w:r>
      <w:proofErr w:type="gramEnd"/>
      <w:r w:rsidRPr="004453CC">
        <w:rPr>
          <w:rFonts w:ascii="Arial" w:eastAsia="Times New Roman" w:hAnsi="Arial" w:cs="Arial"/>
          <w:color w:val="000000"/>
          <w:sz w:val="20"/>
          <w:szCs w:val="20"/>
        </w:rPr>
        <w:t xml:space="preserve"> name of the compliance officer with his designation and the company´s name shall be displayed immediately below the disclaimer clause.</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Annexure 1</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b/>
          <w:bCs/>
          <w:color w:val="000000"/>
          <w:sz w:val="20"/>
          <w:szCs w:val="20"/>
        </w:rPr>
        <w:t>Information to be placed before board of directors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Annual operating plans and budgets and any updates.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Capital budgets and any updates.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2.</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Quarterly results for the company and its operating divisions or business segments.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3.</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Minutes of meetings of audit committee and other committees of the board.</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4.</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The information on recruitment and remuneration of senior officers just below the board level, including appointment or removal of Chief Financial Officer and the Company Secretary.</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5.</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Show cause, demand, prosecution notices and penalty notices which are materially important.</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6.</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Fatal or serious accidents, dangerous occurrences, any material effluent or pollution problems.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lastRenderedPageBreak/>
        <w:t>7.</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Any material default in financial obligations to and by the company, or substantial non-payment for goods sold by the company.</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8.</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 xml:space="preserve">Any issue, which involves possible public or product liability claims of substantial nature, including any </w:t>
      </w:r>
      <w:proofErr w:type="spellStart"/>
      <w:r w:rsidRPr="004453CC">
        <w:rPr>
          <w:rFonts w:ascii="Arial" w:eastAsia="Times New Roman" w:hAnsi="Arial" w:cs="Arial"/>
          <w:color w:val="000000"/>
          <w:sz w:val="20"/>
          <w:szCs w:val="20"/>
        </w:rPr>
        <w:t>judgement</w:t>
      </w:r>
      <w:proofErr w:type="spellEnd"/>
      <w:r w:rsidRPr="004453CC">
        <w:rPr>
          <w:rFonts w:ascii="Arial" w:eastAsia="Times New Roman" w:hAnsi="Arial" w:cs="Arial"/>
          <w:color w:val="000000"/>
          <w:sz w:val="20"/>
          <w:szCs w:val="20"/>
        </w:rPr>
        <w:t xml:space="preserve"> or order which, may have passed strictures on the conduct of the company or taken an adverse view regarding another enterprise that can have negative implications on the company.</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9.</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Details of any joint venture or collaboration agreement.</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10.</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Transactions that involve substantial payment towards goodwill, brand equity, or intellectual property.</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11.</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 xml:space="preserve">Significant </w:t>
      </w:r>
      <w:proofErr w:type="spellStart"/>
      <w:r w:rsidRPr="004453CC">
        <w:rPr>
          <w:rFonts w:ascii="Arial" w:eastAsia="Times New Roman" w:hAnsi="Arial" w:cs="Arial"/>
          <w:color w:val="000000"/>
          <w:sz w:val="20"/>
          <w:szCs w:val="20"/>
        </w:rPr>
        <w:t>labour</w:t>
      </w:r>
      <w:proofErr w:type="spellEnd"/>
      <w:r w:rsidRPr="004453CC">
        <w:rPr>
          <w:rFonts w:ascii="Arial" w:eastAsia="Times New Roman" w:hAnsi="Arial" w:cs="Arial"/>
          <w:color w:val="000000"/>
          <w:sz w:val="20"/>
          <w:szCs w:val="20"/>
        </w:rPr>
        <w:t xml:space="preserve"> problems and their proposed solutions. </w:t>
      </w:r>
      <w:proofErr w:type="gramStart"/>
      <w:r w:rsidRPr="004453CC">
        <w:rPr>
          <w:rFonts w:ascii="Arial" w:eastAsia="Times New Roman" w:hAnsi="Arial" w:cs="Arial"/>
          <w:color w:val="000000"/>
          <w:sz w:val="20"/>
          <w:szCs w:val="20"/>
        </w:rPr>
        <w:t>Any significant development in Human Resources/ Industrial Relations front like signing of wage agreement, implementation of Voluntary Retirement Scheme etc.</w:t>
      </w:r>
      <w:proofErr w:type="gramEnd"/>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12.</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Sale of material nature, of investments, subsidiaries, assets, which is not in normal course of business.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13.</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Quarterly details of foreign exchange exposures and the steps taken by management to limit the risks of adverse exchange rate movement, if material.</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14.</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Non-compliance of any regulatory, statutory nature or listing requirements and shareholders service such as non-payment of dividend, delay in share transfer etc.</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Annexure 2</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b/>
          <w:bCs/>
          <w:color w:val="000000"/>
          <w:sz w:val="20"/>
          <w:szCs w:val="20"/>
        </w:rPr>
        <w:t>Suggested list of items to be included in the report on corporate governance in the annual report of companies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1.</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A brief statement on company's philosophy on code of governance.</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2.</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Board of Directors:</w:t>
      </w:r>
    </w:p>
    <w:p w:rsidR="004453CC" w:rsidRPr="004453CC" w:rsidRDefault="004453CC" w:rsidP="004453CC">
      <w:pPr>
        <w:spacing w:before="120" w:line="240" w:lineRule="auto"/>
        <w:ind w:left="1080" w:hanging="360"/>
        <w:jc w:val="both"/>
        <w:rPr>
          <w:rFonts w:ascii="Calibri" w:eastAsia="Times New Roman" w:hAnsi="Calibri" w:cs="Calibri"/>
          <w:color w:val="000000"/>
        </w:rPr>
      </w:pPr>
      <w:proofErr w:type="gramStart"/>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Composition and category of directors for example promoter, executive, non-executive, independent non-executive, nominee director, which institution represented as Lender or as equity investor.</w:t>
      </w:r>
      <w:proofErr w:type="gramEnd"/>
    </w:p>
    <w:p w:rsidR="004453CC" w:rsidRPr="004453CC" w:rsidRDefault="004453CC" w:rsidP="004453CC">
      <w:pPr>
        <w:spacing w:before="120" w:line="240" w:lineRule="auto"/>
        <w:ind w:left="1080" w:hanging="360"/>
        <w:jc w:val="both"/>
        <w:rPr>
          <w:rFonts w:ascii="Calibri" w:eastAsia="Times New Roman" w:hAnsi="Calibri" w:cs="Calibri"/>
          <w:color w:val="000000"/>
        </w:rPr>
      </w:pPr>
      <w:proofErr w:type="gramStart"/>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 xml:space="preserve">Attendance of each director at the </w:t>
      </w:r>
      <w:proofErr w:type="spellStart"/>
      <w:r w:rsidRPr="004453CC">
        <w:rPr>
          <w:rFonts w:ascii="Arial" w:eastAsia="Times New Roman" w:hAnsi="Arial" w:cs="Arial"/>
          <w:color w:val="000000"/>
          <w:sz w:val="20"/>
          <w:szCs w:val="20"/>
        </w:rPr>
        <w:t>BoD</w:t>
      </w:r>
      <w:proofErr w:type="spellEnd"/>
      <w:r w:rsidRPr="004453CC">
        <w:rPr>
          <w:rFonts w:ascii="Arial" w:eastAsia="Times New Roman" w:hAnsi="Arial" w:cs="Arial"/>
          <w:color w:val="000000"/>
          <w:sz w:val="20"/>
          <w:szCs w:val="20"/>
        </w:rPr>
        <w:t xml:space="preserve"> meetings and the last AGM.</w:t>
      </w:r>
      <w:proofErr w:type="gramEnd"/>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 xml:space="preserve">Number of other </w:t>
      </w:r>
      <w:proofErr w:type="spellStart"/>
      <w:r w:rsidRPr="004453CC">
        <w:rPr>
          <w:rFonts w:ascii="Arial" w:eastAsia="Times New Roman" w:hAnsi="Arial" w:cs="Arial"/>
          <w:color w:val="000000"/>
          <w:sz w:val="20"/>
          <w:szCs w:val="20"/>
        </w:rPr>
        <w:t>BoDs</w:t>
      </w:r>
      <w:proofErr w:type="spellEnd"/>
      <w:r w:rsidRPr="004453CC">
        <w:rPr>
          <w:rFonts w:ascii="Arial" w:eastAsia="Times New Roman" w:hAnsi="Arial" w:cs="Arial"/>
          <w:color w:val="000000"/>
          <w:sz w:val="20"/>
          <w:szCs w:val="20"/>
        </w:rPr>
        <w:t xml:space="preserve"> or Board Committees he/she is a member or Chairperson of.</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 xml:space="preserve">Number of </w:t>
      </w:r>
      <w:proofErr w:type="spellStart"/>
      <w:r w:rsidRPr="004453CC">
        <w:rPr>
          <w:rFonts w:ascii="Arial" w:eastAsia="Times New Roman" w:hAnsi="Arial" w:cs="Arial"/>
          <w:color w:val="000000"/>
          <w:sz w:val="20"/>
          <w:szCs w:val="20"/>
        </w:rPr>
        <w:t>BoD</w:t>
      </w:r>
      <w:proofErr w:type="spellEnd"/>
      <w:r w:rsidRPr="004453CC">
        <w:rPr>
          <w:rFonts w:ascii="Arial" w:eastAsia="Times New Roman" w:hAnsi="Arial" w:cs="Arial"/>
          <w:color w:val="000000"/>
          <w:sz w:val="20"/>
          <w:szCs w:val="20"/>
        </w:rPr>
        <w:t xml:space="preserve"> meetings held, dates on which held.</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3.</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Audit Committee.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Brief description of terms of reference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Composition, name of members and Chairperson</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Meetings and attendance during the year</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4.</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Remuneration Committee.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Brief description of terms of reference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Composition, name of members and Chairperson</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lastRenderedPageBreak/>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Attendance during the year</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Remuneration policy</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Details of remuneration to all the directors, as per format in main report.</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5.</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Shareholders Committee.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Name of non-executive director heading the committee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Name and designation of compliance officer</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Number of shareholders complaints received so far</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Number not solved to the satisfaction of shareholders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Number of pending share transfers</w:t>
      </w:r>
    </w:p>
    <w:p w:rsidR="004453CC" w:rsidRPr="004453CC" w:rsidRDefault="004453CC" w:rsidP="004453CC">
      <w:pPr>
        <w:spacing w:before="120" w:line="240" w:lineRule="auto"/>
        <w:ind w:left="720" w:hanging="360"/>
        <w:jc w:val="both"/>
        <w:rPr>
          <w:rFonts w:ascii="Calibri" w:eastAsia="Times New Roman" w:hAnsi="Calibri" w:cs="Calibri"/>
          <w:color w:val="000000"/>
        </w:rPr>
      </w:pPr>
      <w:proofErr w:type="gramStart"/>
      <w:r w:rsidRPr="004453CC">
        <w:rPr>
          <w:rFonts w:ascii="Arial" w:eastAsia="Times New Roman" w:hAnsi="Arial" w:cs="Arial"/>
          <w:color w:val="000000"/>
          <w:sz w:val="20"/>
          <w:szCs w:val="20"/>
        </w:rPr>
        <w:t>6.</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General Body meetings.</w:t>
      </w:r>
      <w:proofErr w:type="gramEnd"/>
    </w:p>
    <w:p w:rsidR="004453CC" w:rsidRPr="004453CC" w:rsidRDefault="004453CC" w:rsidP="004453CC">
      <w:pPr>
        <w:spacing w:before="120" w:line="240" w:lineRule="auto"/>
        <w:ind w:left="1080" w:hanging="360"/>
        <w:jc w:val="both"/>
        <w:rPr>
          <w:rFonts w:ascii="Calibri" w:eastAsia="Times New Roman" w:hAnsi="Calibri" w:cs="Calibri"/>
          <w:color w:val="000000"/>
        </w:rPr>
      </w:pPr>
      <w:proofErr w:type="gramStart"/>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Location and time, where last three AGMs held.</w:t>
      </w:r>
      <w:proofErr w:type="gramEnd"/>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proofErr w:type="gramStart"/>
      <w:r w:rsidRPr="004453CC">
        <w:rPr>
          <w:rFonts w:ascii="Arial" w:eastAsia="Times New Roman" w:hAnsi="Arial" w:cs="Arial"/>
          <w:color w:val="000000"/>
          <w:sz w:val="20"/>
          <w:szCs w:val="20"/>
        </w:rPr>
        <w:t>Whether</w:t>
      </w:r>
      <w:proofErr w:type="gramEnd"/>
      <w:r w:rsidRPr="004453CC">
        <w:rPr>
          <w:rFonts w:ascii="Arial" w:eastAsia="Times New Roman" w:hAnsi="Arial" w:cs="Arial"/>
          <w:color w:val="000000"/>
          <w:sz w:val="20"/>
          <w:szCs w:val="20"/>
        </w:rPr>
        <w:t xml:space="preserve"> special resolutions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proofErr w:type="gramStart"/>
      <w:r w:rsidRPr="004453CC">
        <w:rPr>
          <w:rFonts w:ascii="Arial" w:eastAsia="Times New Roman" w:hAnsi="Arial" w:cs="Arial"/>
          <w:color w:val="000000"/>
          <w:sz w:val="20"/>
          <w:szCs w:val="20"/>
        </w:rPr>
        <w:t>Were</w:t>
      </w:r>
      <w:proofErr w:type="gramEnd"/>
      <w:r w:rsidRPr="004453CC">
        <w:rPr>
          <w:rFonts w:ascii="Arial" w:eastAsia="Times New Roman" w:hAnsi="Arial" w:cs="Arial"/>
          <w:color w:val="000000"/>
          <w:sz w:val="20"/>
          <w:szCs w:val="20"/>
        </w:rPr>
        <w:t xml:space="preserve"> put through postal ballot last year, details of voting pattern.</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Person who conducted the postal ballot exercise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proofErr w:type="gramStart"/>
      <w:r w:rsidRPr="004453CC">
        <w:rPr>
          <w:rFonts w:ascii="Arial" w:eastAsia="Times New Roman" w:hAnsi="Arial" w:cs="Arial"/>
          <w:color w:val="000000"/>
          <w:sz w:val="20"/>
          <w:szCs w:val="20"/>
        </w:rPr>
        <w:t>Are</w:t>
      </w:r>
      <w:proofErr w:type="gramEnd"/>
      <w:r w:rsidRPr="004453CC">
        <w:rPr>
          <w:rFonts w:ascii="Arial" w:eastAsia="Times New Roman" w:hAnsi="Arial" w:cs="Arial"/>
          <w:color w:val="000000"/>
          <w:sz w:val="20"/>
          <w:szCs w:val="20"/>
        </w:rPr>
        <w:t xml:space="preserve"> proposed to be conducted through postal ballot</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Procedure for postal ballot</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7.</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Disclosures.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Disclosures on materially significant related party transactions i.e. transactions of the company of material nature, with its promoters, the directors or the management, their subsidiaries or relatives etc. that may have potential conflict with the interests of company at large.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 xml:space="preserve">Details of non-compliance by the company, penalties, </w:t>
      </w:r>
      <w:proofErr w:type="gramStart"/>
      <w:r w:rsidRPr="004453CC">
        <w:rPr>
          <w:rFonts w:ascii="Arial" w:eastAsia="Times New Roman" w:hAnsi="Arial" w:cs="Arial"/>
          <w:color w:val="000000"/>
          <w:sz w:val="20"/>
          <w:szCs w:val="20"/>
        </w:rPr>
        <w:t>strictures</w:t>
      </w:r>
      <w:proofErr w:type="gramEnd"/>
      <w:r w:rsidRPr="004453CC">
        <w:rPr>
          <w:rFonts w:ascii="Arial" w:eastAsia="Times New Roman" w:hAnsi="Arial" w:cs="Arial"/>
          <w:color w:val="000000"/>
          <w:sz w:val="20"/>
          <w:szCs w:val="20"/>
        </w:rPr>
        <w:t xml:space="preserve"> imposed on the company by Stock Exchange or SEBI or any statutory authority, on any matter related to capital markets, during the last three years.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t>8.</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Means of communication.</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Half-yearly report sent to each household of shareholders.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Quarterly results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proofErr w:type="gramStart"/>
      <w:r w:rsidRPr="004453CC">
        <w:rPr>
          <w:rFonts w:ascii="Arial" w:eastAsia="Times New Roman" w:hAnsi="Arial" w:cs="Arial"/>
          <w:color w:val="000000"/>
          <w:sz w:val="20"/>
          <w:szCs w:val="20"/>
        </w:rPr>
        <w:t>Which</w:t>
      </w:r>
      <w:proofErr w:type="gramEnd"/>
      <w:r w:rsidRPr="004453CC">
        <w:rPr>
          <w:rFonts w:ascii="Arial" w:eastAsia="Times New Roman" w:hAnsi="Arial" w:cs="Arial"/>
          <w:color w:val="000000"/>
          <w:sz w:val="20"/>
          <w:szCs w:val="20"/>
        </w:rPr>
        <w:t xml:space="preserve"> newspapers normally published in.</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proofErr w:type="gramStart"/>
      <w:r w:rsidRPr="004453CC">
        <w:rPr>
          <w:rFonts w:ascii="Arial" w:eastAsia="Times New Roman" w:hAnsi="Arial" w:cs="Arial"/>
          <w:color w:val="000000"/>
          <w:sz w:val="20"/>
          <w:szCs w:val="20"/>
        </w:rPr>
        <w:t>Any</w:t>
      </w:r>
      <w:proofErr w:type="gramEnd"/>
      <w:r w:rsidRPr="004453CC">
        <w:rPr>
          <w:rFonts w:ascii="Arial" w:eastAsia="Times New Roman" w:hAnsi="Arial" w:cs="Arial"/>
          <w:color w:val="000000"/>
          <w:sz w:val="20"/>
          <w:szCs w:val="20"/>
        </w:rPr>
        <w:t xml:space="preserve"> website, where displayed</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proofErr w:type="gramStart"/>
      <w:r w:rsidRPr="004453CC">
        <w:rPr>
          <w:rFonts w:ascii="Arial" w:eastAsia="Times New Roman" w:hAnsi="Arial" w:cs="Arial"/>
          <w:color w:val="000000"/>
          <w:sz w:val="20"/>
          <w:szCs w:val="20"/>
        </w:rPr>
        <w:t>Whether</w:t>
      </w:r>
      <w:proofErr w:type="gramEnd"/>
      <w:r w:rsidRPr="004453CC">
        <w:rPr>
          <w:rFonts w:ascii="Arial" w:eastAsia="Times New Roman" w:hAnsi="Arial" w:cs="Arial"/>
          <w:color w:val="000000"/>
          <w:sz w:val="20"/>
          <w:szCs w:val="20"/>
        </w:rPr>
        <w:t xml:space="preserve"> it also displays official news releases; and</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proofErr w:type="gramStart"/>
      <w:r w:rsidRPr="004453CC">
        <w:rPr>
          <w:rFonts w:ascii="Arial" w:eastAsia="Times New Roman" w:hAnsi="Arial" w:cs="Arial"/>
          <w:color w:val="000000"/>
          <w:sz w:val="20"/>
          <w:szCs w:val="20"/>
        </w:rPr>
        <w:t>The</w:t>
      </w:r>
      <w:proofErr w:type="gramEnd"/>
      <w:r w:rsidRPr="004453CC">
        <w:rPr>
          <w:rFonts w:ascii="Arial" w:eastAsia="Times New Roman" w:hAnsi="Arial" w:cs="Arial"/>
          <w:color w:val="000000"/>
          <w:sz w:val="20"/>
          <w:szCs w:val="20"/>
        </w:rPr>
        <w:t xml:space="preserve"> presentations made to institutional investors or to the analysts.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Whether MD&amp;A is a part of annual report or not.</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color w:val="000000"/>
          <w:sz w:val="20"/>
          <w:szCs w:val="20"/>
        </w:rPr>
        <w:lastRenderedPageBreak/>
        <w:t>9.</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General Shareholder information</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AGM: Date, time and venue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Financial Calendar</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Date of Book closure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Dividend Payment Date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Listing on Stock Exchanges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Stock Code</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 xml:space="preserve">Market Price Data: </w:t>
      </w:r>
      <w:proofErr w:type="gramStart"/>
      <w:r w:rsidRPr="004453CC">
        <w:rPr>
          <w:rFonts w:ascii="Arial" w:eastAsia="Times New Roman" w:hAnsi="Arial" w:cs="Arial"/>
          <w:color w:val="000000"/>
          <w:sz w:val="20"/>
          <w:szCs w:val="20"/>
        </w:rPr>
        <w:t>High.,</w:t>
      </w:r>
      <w:proofErr w:type="gramEnd"/>
      <w:r w:rsidRPr="004453CC">
        <w:rPr>
          <w:rFonts w:ascii="Arial" w:eastAsia="Times New Roman" w:hAnsi="Arial" w:cs="Arial"/>
          <w:color w:val="000000"/>
          <w:sz w:val="20"/>
          <w:szCs w:val="20"/>
        </w:rPr>
        <w:t xml:space="preserve"> Low during each month in last financial year</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Performance in comparison to broad-based indices such as BSE Sensex, CRISIL index etc.</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Registrar and Transfer Agents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Share Transfer System</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Distribution of shareholding</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proofErr w:type="spellStart"/>
      <w:r w:rsidRPr="004453CC">
        <w:rPr>
          <w:rFonts w:ascii="Arial" w:eastAsia="Times New Roman" w:hAnsi="Arial" w:cs="Arial"/>
          <w:color w:val="000000"/>
          <w:sz w:val="20"/>
          <w:szCs w:val="20"/>
        </w:rPr>
        <w:t>Dematerialisation</w:t>
      </w:r>
      <w:proofErr w:type="spellEnd"/>
      <w:r w:rsidRPr="004453CC">
        <w:rPr>
          <w:rFonts w:ascii="Arial" w:eastAsia="Times New Roman" w:hAnsi="Arial" w:cs="Arial"/>
          <w:color w:val="000000"/>
          <w:sz w:val="20"/>
          <w:szCs w:val="20"/>
        </w:rPr>
        <w:t xml:space="preserve"> of shares and liquidity</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Outstanding GDRs/ADRs/Warrants or any Convertible instruments, conversion date and likely impact on equity</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Plant Locations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Symbol" w:eastAsia="Times New Roman" w:hAnsi="Symbol" w:cs="Calibri"/>
          <w:color w:val="000000"/>
          <w:sz w:val="20"/>
          <w:szCs w:val="20"/>
        </w:rPr>
        <w:t></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Address for correspondence</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b/>
          <w:bCs/>
          <w:color w:val="000000"/>
          <w:sz w:val="20"/>
          <w:szCs w:val="20"/>
        </w:rPr>
        <w:t>Annexure - 3</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b/>
          <w:bCs/>
          <w:color w:val="000000"/>
          <w:sz w:val="20"/>
          <w:szCs w:val="20"/>
        </w:rPr>
        <w:t>Non-Mandatory Requirements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b/>
          <w:bCs/>
          <w:color w:val="000000"/>
          <w:sz w:val="20"/>
          <w:szCs w:val="20"/>
        </w:rPr>
        <w:t>a.</w:t>
      </w:r>
      <w:r w:rsidRPr="004453CC">
        <w:rPr>
          <w:rFonts w:ascii="Times New Roman" w:eastAsia="Times New Roman" w:hAnsi="Times New Roman" w:cs="Times New Roman"/>
          <w:b/>
          <w:bCs/>
          <w:color w:val="000000"/>
          <w:sz w:val="14"/>
          <w:szCs w:val="14"/>
        </w:rPr>
        <w:t>     </w:t>
      </w:r>
      <w:r w:rsidRPr="004453CC">
        <w:rPr>
          <w:rFonts w:ascii="Arial" w:eastAsia="Times New Roman" w:hAnsi="Arial" w:cs="Arial"/>
          <w:b/>
          <w:bCs/>
          <w:color w:val="000000"/>
          <w:sz w:val="20"/>
          <w:szCs w:val="20"/>
        </w:rPr>
        <w:t>Chairman of the Board</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A non-executive Chairman should be entitled to maintain a Chairman's office at the company's expense and also allowed reimbursement of expenses incurred in performance of his duties.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b/>
          <w:bCs/>
          <w:color w:val="000000"/>
          <w:sz w:val="20"/>
          <w:szCs w:val="20"/>
        </w:rPr>
        <w:t>b.</w:t>
      </w:r>
      <w:r w:rsidRPr="004453CC">
        <w:rPr>
          <w:rFonts w:ascii="Times New Roman" w:eastAsia="Times New Roman" w:hAnsi="Times New Roman" w:cs="Times New Roman"/>
          <w:b/>
          <w:bCs/>
          <w:color w:val="000000"/>
          <w:sz w:val="14"/>
          <w:szCs w:val="14"/>
        </w:rPr>
        <w:t>    </w:t>
      </w:r>
      <w:r w:rsidRPr="004453CC">
        <w:rPr>
          <w:rFonts w:ascii="Arial" w:eastAsia="Times New Roman" w:hAnsi="Arial" w:cs="Arial"/>
          <w:b/>
          <w:bCs/>
          <w:color w:val="000000"/>
          <w:sz w:val="20"/>
          <w:szCs w:val="20"/>
        </w:rPr>
        <w:t>Remuneration Committee</w:t>
      </w:r>
    </w:p>
    <w:p w:rsidR="004453CC" w:rsidRPr="004453CC" w:rsidRDefault="004453CC" w:rsidP="004453CC">
      <w:pPr>
        <w:spacing w:before="120" w:line="240" w:lineRule="auto"/>
        <w:ind w:left="1080" w:hanging="1080"/>
        <w:jc w:val="both"/>
        <w:rPr>
          <w:rFonts w:ascii="Calibri" w:eastAsia="Times New Roman" w:hAnsi="Calibri" w:cs="Calibri"/>
          <w:color w:val="000000"/>
        </w:rPr>
      </w:pP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i.</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The board should set up a remuneration committee to determine on their behalf and on behalf of the shareholders with agreed terms of reference, the company's policy on specific remuneration packages for executive directors including pension rights and any compensation payment.</w:t>
      </w:r>
    </w:p>
    <w:p w:rsidR="004453CC" w:rsidRPr="004453CC" w:rsidRDefault="004453CC" w:rsidP="004453CC">
      <w:pPr>
        <w:spacing w:before="120" w:line="240" w:lineRule="auto"/>
        <w:ind w:left="1080" w:hanging="1080"/>
        <w:jc w:val="both"/>
        <w:rPr>
          <w:rFonts w:ascii="Calibri" w:eastAsia="Times New Roman" w:hAnsi="Calibri" w:cs="Calibri"/>
          <w:color w:val="000000"/>
        </w:rPr>
      </w:pP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ii.</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To avoid conflicts of interest, the remuneration committee, which would determine the remuneration packages of the executive directors should comprise of at least three directors, all of whom should be non-executive directors, the chairman of committee being an independent director.</w:t>
      </w:r>
    </w:p>
    <w:p w:rsidR="004453CC" w:rsidRPr="004453CC" w:rsidRDefault="004453CC" w:rsidP="004453CC">
      <w:pPr>
        <w:spacing w:before="120" w:line="240" w:lineRule="auto"/>
        <w:ind w:left="1080" w:hanging="1080"/>
        <w:jc w:val="both"/>
        <w:rPr>
          <w:rFonts w:ascii="Calibri" w:eastAsia="Times New Roman" w:hAnsi="Calibri" w:cs="Calibri"/>
          <w:color w:val="000000"/>
        </w:rPr>
      </w:pP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iii.</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All the members of the remuneration committee should be present at the meeting.</w:t>
      </w:r>
    </w:p>
    <w:p w:rsidR="004453CC" w:rsidRPr="004453CC" w:rsidRDefault="004453CC" w:rsidP="004453CC">
      <w:pPr>
        <w:spacing w:before="120" w:line="240" w:lineRule="auto"/>
        <w:ind w:left="1080" w:hanging="1080"/>
        <w:jc w:val="both"/>
        <w:rPr>
          <w:rFonts w:ascii="Calibri" w:eastAsia="Times New Roman" w:hAnsi="Calibri" w:cs="Calibri"/>
          <w:color w:val="000000"/>
        </w:rPr>
      </w:pPr>
      <w:r w:rsidRPr="004453CC">
        <w:rPr>
          <w:rFonts w:ascii="Times New Roman" w:eastAsia="Times New Roman" w:hAnsi="Times New Roman" w:cs="Times New Roman"/>
          <w:color w:val="000000"/>
          <w:sz w:val="14"/>
          <w:szCs w:val="14"/>
        </w:rPr>
        <w:lastRenderedPageBreak/>
        <w:t>            </w:t>
      </w:r>
      <w:r w:rsidRPr="004453CC">
        <w:rPr>
          <w:rFonts w:ascii="Arial" w:eastAsia="Times New Roman" w:hAnsi="Arial" w:cs="Arial"/>
          <w:color w:val="000000"/>
          <w:sz w:val="20"/>
          <w:szCs w:val="20"/>
        </w:rPr>
        <w:t>iv.</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The Chairman of the remuneration committee should be present at the Annual General Meeting, to answer the shareholder queries. However, it would be up to the Chairman to decide who should answer the queries.</w:t>
      </w:r>
    </w:p>
    <w:p w:rsidR="004453CC" w:rsidRPr="004453CC" w:rsidRDefault="004453CC" w:rsidP="004453CC">
      <w:pPr>
        <w:spacing w:before="120" w:line="240" w:lineRule="auto"/>
        <w:ind w:left="720" w:hanging="360"/>
        <w:jc w:val="both"/>
        <w:rPr>
          <w:rFonts w:ascii="Calibri" w:eastAsia="Times New Roman" w:hAnsi="Calibri" w:cs="Calibri"/>
          <w:color w:val="000000"/>
        </w:rPr>
      </w:pPr>
      <w:r w:rsidRPr="004453CC">
        <w:rPr>
          <w:rFonts w:ascii="Arial" w:eastAsia="Times New Roman" w:hAnsi="Arial" w:cs="Arial"/>
          <w:b/>
          <w:bCs/>
          <w:color w:val="000000"/>
          <w:sz w:val="20"/>
          <w:szCs w:val="20"/>
        </w:rPr>
        <w:t>c.</w:t>
      </w:r>
      <w:r w:rsidRPr="004453CC">
        <w:rPr>
          <w:rFonts w:ascii="Times New Roman" w:eastAsia="Times New Roman" w:hAnsi="Times New Roman" w:cs="Times New Roman"/>
          <w:b/>
          <w:bCs/>
          <w:color w:val="000000"/>
          <w:sz w:val="14"/>
          <w:szCs w:val="14"/>
        </w:rPr>
        <w:t>     </w:t>
      </w:r>
      <w:r w:rsidRPr="004453CC">
        <w:rPr>
          <w:rFonts w:ascii="Arial" w:eastAsia="Times New Roman" w:hAnsi="Arial" w:cs="Arial"/>
          <w:b/>
          <w:bCs/>
          <w:color w:val="000000"/>
          <w:sz w:val="20"/>
          <w:szCs w:val="20"/>
        </w:rPr>
        <w:t>Shareholder Rights</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The half-yearly declaration of financial performance including summary of the significant events in last six-months, should be sent to each household of shareholders.</w:t>
      </w:r>
    </w:p>
    <w:p w:rsidR="004453CC" w:rsidRPr="004453CC" w:rsidRDefault="004453CC" w:rsidP="004453CC">
      <w:pPr>
        <w:spacing w:before="120" w:line="240" w:lineRule="auto"/>
        <w:ind w:left="810" w:hanging="450"/>
        <w:jc w:val="both"/>
        <w:rPr>
          <w:rFonts w:ascii="Calibri" w:eastAsia="Times New Roman" w:hAnsi="Calibri" w:cs="Calibri"/>
          <w:color w:val="000000"/>
        </w:rPr>
      </w:pPr>
      <w:r w:rsidRPr="004453CC">
        <w:rPr>
          <w:rFonts w:ascii="Arial" w:eastAsia="Times New Roman" w:hAnsi="Arial" w:cs="Arial"/>
          <w:b/>
          <w:bCs/>
          <w:color w:val="000000"/>
          <w:sz w:val="20"/>
          <w:szCs w:val="20"/>
        </w:rPr>
        <w:t>d.</w:t>
      </w:r>
      <w:r w:rsidRPr="004453CC">
        <w:rPr>
          <w:rFonts w:ascii="Times New Roman" w:eastAsia="Times New Roman" w:hAnsi="Times New Roman" w:cs="Times New Roman"/>
          <w:b/>
          <w:bCs/>
          <w:color w:val="000000"/>
          <w:sz w:val="14"/>
          <w:szCs w:val="14"/>
        </w:rPr>
        <w:t>      </w:t>
      </w:r>
      <w:r w:rsidRPr="004453CC">
        <w:rPr>
          <w:rFonts w:ascii="Arial" w:eastAsia="Times New Roman" w:hAnsi="Arial" w:cs="Arial"/>
          <w:color w:val="000000"/>
          <w:sz w:val="20"/>
          <w:szCs w:val="20"/>
        </w:rPr>
        <w:t>Postal Ballot</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Currently, although the formality of holding the general meeting is gone through, in actual practice only a small fraction of the shareholders of that company do or can really participate therein. This virtually makes the concept of corporate democracy illusory. It is imperative that this situation which has lasted too long needs an early correction. In this context, for shareholders who are unable to attend the meetings, there should be a requirement which will enable them to vote by postal ballot for key decisions. Some of the critical matters which should be decided by postal ballot are given below:</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Arial" w:eastAsia="Times New Roman" w:hAnsi="Arial" w:cs="Arial"/>
          <w:color w:val="000000"/>
          <w:sz w:val="20"/>
          <w:szCs w:val="20"/>
        </w:rPr>
        <w:t>a.</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 xml:space="preserve">Matters relating to alteration in the memorandum of association of the company like changes in name, objects, address of registered office </w:t>
      </w:r>
      <w:proofErr w:type="spellStart"/>
      <w:r w:rsidRPr="004453CC">
        <w:rPr>
          <w:rFonts w:ascii="Arial" w:eastAsia="Times New Roman" w:hAnsi="Arial" w:cs="Arial"/>
          <w:color w:val="000000"/>
          <w:sz w:val="20"/>
          <w:szCs w:val="20"/>
        </w:rPr>
        <w:t>etc</w:t>
      </w:r>
      <w:proofErr w:type="spellEnd"/>
      <w:r w:rsidRPr="004453CC">
        <w:rPr>
          <w:rFonts w:ascii="Arial" w:eastAsia="Times New Roman" w:hAnsi="Arial" w:cs="Arial"/>
          <w:color w:val="000000"/>
          <w:sz w:val="20"/>
          <w:szCs w:val="20"/>
        </w:rPr>
        <w:t>;</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Arial" w:eastAsia="Times New Roman" w:hAnsi="Arial" w:cs="Arial"/>
          <w:color w:val="000000"/>
          <w:sz w:val="20"/>
          <w:szCs w:val="20"/>
        </w:rPr>
        <w:t>b.</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Sale of whole or substantially the whole of the undertaking;</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Arial" w:eastAsia="Times New Roman" w:hAnsi="Arial" w:cs="Arial"/>
          <w:color w:val="000000"/>
          <w:sz w:val="20"/>
          <w:szCs w:val="20"/>
        </w:rPr>
        <w:t>c.</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Sale of investments in the companies, where the shareholding or the voting rights of the company exceeds 25%;</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Arial" w:eastAsia="Times New Roman" w:hAnsi="Arial" w:cs="Arial"/>
          <w:color w:val="000000"/>
          <w:sz w:val="20"/>
          <w:szCs w:val="20"/>
        </w:rPr>
        <w:t>d.</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Making a further issue of shares through preferential allotment or private placement basis;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Arial" w:eastAsia="Times New Roman" w:hAnsi="Arial" w:cs="Arial"/>
          <w:color w:val="000000"/>
          <w:sz w:val="20"/>
          <w:szCs w:val="20"/>
        </w:rPr>
        <w:t>e.</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Corporate restructuring;</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Arial" w:eastAsia="Times New Roman" w:hAnsi="Arial" w:cs="Arial"/>
          <w:color w:val="000000"/>
          <w:sz w:val="20"/>
          <w:szCs w:val="20"/>
        </w:rPr>
        <w:t>f.</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Entering a new business area not germane to the existing business of the company;</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Arial" w:eastAsia="Times New Roman" w:hAnsi="Arial" w:cs="Arial"/>
          <w:color w:val="000000"/>
          <w:sz w:val="20"/>
          <w:szCs w:val="20"/>
        </w:rPr>
        <w:t>g.</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Variation in rights attached to class of securities;</w:t>
      </w:r>
    </w:p>
    <w:p w:rsidR="004453CC" w:rsidRPr="004453CC" w:rsidRDefault="004453CC" w:rsidP="004453CC">
      <w:pPr>
        <w:spacing w:before="120" w:line="240" w:lineRule="auto"/>
        <w:ind w:left="1080" w:hanging="360"/>
        <w:jc w:val="both"/>
        <w:rPr>
          <w:rFonts w:ascii="Calibri" w:eastAsia="Times New Roman" w:hAnsi="Calibri" w:cs="Calibri"/>
          <w:color w:val="000000"/>
        </w:rPr>
      </w:pPr>
      <w:r w:rsidRPr="004453CC">
        <w:rPr>
          <w:rFonts w:ascii="Arial" w:eastAsia="Times New Roman" w:hAnsi="Arial" w:cs="Arial"/>
          <w:color w:val="000000"/>
          <w:sz w:val="20"/>
          <w:szCs w:val="20"/>
        </w:rPr>
        <w:t>h.</w:t>
      </w:r>
      <w:r w:rsidRPr="004453CC">
        <w:rPr>
          <w:rFonts w:ascii="Times New Roman" w:eastAsia="Times New Roman" w:hAnsi="Times New Roman" w:cs="Times New Roman"/>
          <w:color w:val="000000"/>
          <w:sz w:val="14"/>
          <w:szCs w:val="14"/>
        </w:rPr>
        <w:t>     </w:t>
      </w:r>
      <w:r w:rsidRPr="004453CC">
        <w:rPr>
          <w:rFonts w:ascii="Arial" w:eastAsia="Times New Roman" w:hAnsi="Arial" w:cs="Arial"/>
          <w:color w:val="000000"/>
          <w:sz w:val="20"/>
          <w:szCs w:val="20"/>
        </w:rPr>
        <w:t>Matters relating to change in management</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 xml:space="preserve">PROVIDED ALWAYS AND THE ISSUER HEREBY IRREVOCABLY AGREES AND DECLARES THAT unless the NSE agrees otherwise the Issuer will not without the previous permission in writing of the Central Government/SEBI </w:t>
      </w:r>
      <w:proofErr w:type="gramStart"/>
      <w:r w:rsidRPr="004453CC">
        <w:rPr>
          <w:rFonts w:ascii="Arial" w:eastAsia="Times New Roman" w:hAnsi="Arial" w:cs="Arial"/>
          <w:color w:val="000000"/>
          <w:sz w:val="20"/>
          <w:szCs w:val="20"/>
        </w:rPr>
        <w:t>withdraw</w:t>
      </w:r>
      <w:proofErr w:type="gramEnd"/>
      <w:r w:rsidRPr="004453CC">
        <w:rPr>
          <w:rFonts w:ascii="Arial" w:eastAsia="Times New Roman" w:hAnsi="Arial" w:cs="Arial"/>
          <w:color w:val="000000"/>
          <w:sz w:val="20"/>
          <w:szCs w:val="20"/>
        </w:rPr>
        <w:t xml:space="preserve"> its adherence to this agreement for listing its securities.</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 xml:space="preserve">AND THE ISSUER HEREBY FURTHER AGREES AND DECLARES THAT any of its securities listed on the NSE shall remain on the list entirely at the pleasure of the NSE AND THAT nothing herein contained shall restrict or be deemed to restrict the right of the NSE to suspend or remove from the list the said securities at any time and for any reason which the NSE considers proper in its absolute discretion. If the Issuer fails to comply with the provisions of the listing agreement or relevant Acts or provisions prescribed by the Statutory and Regulatory Bodies, the NSE has the right to take suitable action as it deems fit including levy of fines/penalties, suspension of security for dealings and </w:t>
      </w:r>
      <w:proofErr w:type="spellStart"/>
      <w:r w:rsidRPr="004453CC">
        <w:rPr>
          <w:rFonts w:ascii="Arial" w:eastAsia="Times New Roman" w:hAnsi="Arial" w:cs="Arial"/>
          <w:color w:val="000000"/>
          <w:sz w:val="20"/>
          <w:szCs w:val="20"/>
        </w:rPr>
        <w:t>delistings</w:t>
      </w:r>
      <w:proofErr w:type="spellEnd"/>
      <w:r w:rsidRPr="004453CC">
        <w:rPr>
          <w:rFonts w:ascii="Arial" w:eastAsia="Times New Roman" w:hAnsi="Arial" w:cs="Arial"/>
          <w:color w:val="000000"/>
          <w:sz w:val="20"/>
          <w:szCs w:val="20"/>
        </w:rPr>
        <w:t>.</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IN WITNESS WHEREOF the Issuer has caused these presents to be executed and its Common Seal to be hereunto affixed as of the day and year first above written.</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The common seal of..............................................................</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w:t>
      </w:r>
    </w:p>
    <w:p w:rsidR="004453CC" w:rsidRPr="004453CC" w:rsidRDefault="004453CC" w:rsidP="004453CC">
      <w:pPr>
        <w:spacing w:before="120" w:line="240" w:lineRule="auto"/>
        <w:jc w:val="both"/>
        <w:rPr>
          <w:rFonts w:ascii="Calibri" w:eastAsia="Times New Roman" w:hAnsi="Calibri" w:cs="Calibri"/>
          <w:color w:val="000000"/>
        </w:rPr>
      </w:pPr>
      <w:proofErr w:type="gramStart"/>
      <w:r w:rsidRPr="004453CC">
        <w:rPr>
          <w:rFonts w:ascii="Arial" w:eastAsia="Times New Roman" w:hAnsi="Arial" w:cs="Arial"/>
          <w:color w:val="000000"/>
          <w:sz w:val="20"/>
          <w:szCs w:val="20"/>
        </w:rPr>
        <w:t>was</w:t>
      </w:r>
      <w:proofErr w:type="gramEnd"/>
      <w:r w:rsidRPr="004453CC">
        <w:rPr>
          <w:rFonts w:ascii="Arial" w:eastAsia="Times New Roman" w:hAnsi="Arial" w:cs="Arial"/>
          <w:color w:val="000000"/>
          <w:sz w:val="20"/>
          <w:szCs w:val="20"/>
        </w:rPr>
        <w:t xml:space="preserve"> hereunto affixed pursuant to a resolution passed at a meeting Signature of the Board of Directors of the company held on...................day of</w:t>
      </w:r>
    </w:p>
    <w:p w:rsidR="004453CC" w:rsidRPr="004453CC" w:rsidRDefault="004453CC" w:rsidP="004453CC">
      <w:pPr>
        <w:spacing w:before="120" w:line="240" w:lineRule="auto"/>
        <w:jc w:val="both"/>
        <w:rPr>
          <w:rFonts w:ascii="Calibri" w:eastAsia="Times New Roman" w:hAnsi="Calibri" w:cs="Calibri"/>
          <w:color w:val="000000"/>
        </w:rPr>
      </w:pPr>
      <w:proofErr w:type="gramStart"/>
      <w:r w:rsidRPr="004453CC">
        <w:rPr>
          <w:rFonts w:ascii="Arial" w:eastAsia="Times New Roman" w:hAnsi="Arial" w:cs="Arial"/>
          <w:color w:val="000000"/>
          <w:sz w:val="20"/>
          <w:szCs w:val="20"/>
        </w:rPr>
        <w:lastRenderedPageBreak/>
        <w:t>........................,........in</w:t>
      </w:r>
      <w:proofErr w:type="gramEnd"/>
      <w:r w:rsidRPr="004453CC">
        <w:rPr>
          <w:rFonts w:ascii="Arial" w:eastAsia="Times New Roman" w:hAnsi="Arial" w:cs="Arial"/>
          <w:color w:val="000000"/>
          <w:sz w:val="20"/>
          <w:szCs w:val="20"/>
        </w:rPr>
        <w:t xml:space="preserve"> the presence of *..........*Signature</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(Name &amp; Designation)</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As required in the Articles of Association of the Company</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Schedule I</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Issuer's listed Securities</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w:t>
      </w:r>
      <w:proofErr w:type="gramStart"/>
      <w:r w:rsidRPr="004453CC">
        <w:rPr>
          <w:rFonts w:ascii="Arial" w:eastAsia="Times New Roman" w:hAnsi="Arial" w:cs="Arial"/>
          <w:b/>
          <w:bCs/>
          <w:color w:val="000000"/>
          <w:sz w:val="20"/>
          <w:szCs w:val="20"/>
        </w:rPr>
        <w:t>for</w:t>
      </w:r>
      <w:proofErr w:type="gramEnd"/>
      <w:r w:rsidRPr="004453CC">
        <w:rPr>
          <w:rFonts w:ascii="Arial" w:eastAsia="Times New Roman" w:hAnsi="Arial" w:cs="Arial"/>
          <w:b/>
          <w:bCs/>
          <w:color w:val="000000"/>
          <w:sz w:val="20"/>
          <w:szCs w:val="20"/>
        </w:rPr>
        <w:t xml:space="preserve"> shares only)</w:t>
      </w:r>
    </w:p>
    <w:tbl>
      <w:tblPr>
        <w:tblW w:w="0" w:type="auto"/>
        <w:tblCellMar>
          <w:left w:w="0" w:type="dxa"/>
          <w:right w:w="0" w:type="dxa"/>
        </w:tblCellMar>
        <w:tblLook w:val="04A0" w:firstRow="1" w:lastRow="0" w:firstColumn="1" w:lastColumn="0" w:noHBand="0" w:noVBand="1"/>
      </w:tblPr>
      <w:tblGrid>
        <w:gridCol w:w="1368"/>
        <w:gridCol w:w="1368"/>
        <w:gridCol w:w="1368"/>
        <w:gridCol w:w="1368"/>
        <w:gridCol w:w="1368"/>
        <w:gridCol w:w="1368"/>
        <w:gridCol w:w="1368"/>
      </w:tblGrid>
      <w:tr w:rsidR="004453CC" w:rsidRPr="004453CC" w:rsidTr="004453CC">
        <w:tc>
          <w:tcPr>
            <w:tcW w:w="1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Kind of Security (Shares)</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Numbers Issued</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 xml:space="preserve">Nominal Value Per share </w:t>
            </w:r>
            <w:proofErr w:type="spellStart"/>
            <w:r w:rsidRPr="004453CC">
              <w:rPr>
                <w:rFonts w:ascii="Arial" w:eastAsia="Times New Roman" w:hAnsi="Arial" w:cs="Arial"/>
                <w:b/>
                <w:bCs/>
                <w:sz w:val="20"/>
                <w:szCs w:val="20"/>
              </w:rPr>
              <w:t>Rs</w:t>
            </w:r>
            <w:proofErr w:type="spellEnd"/>
            <w:r w:rsidRPr="004453CC">
              <w:rPr>
                <w:rFonts w:ascii="Arial" w:eastAsia="Times New Roman" w:hAnsi="Arial" w:cs="Arial"/>
                <w:b/>
                <w:bCs/>
                <w:sz w:val="20"/>
                <w:szCs w:val="20"/>
              </w:rPr>
              <w:t>.</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 xml:space="preserve">Paid-up Value Per Share </w:t>
            </w:r>
            <w:proofErr w:type="spellStart"/>
            <w:r w:rsidRPr="004453CC">
              <w:rPr>
                <w:rFonts w:ascii="Arial" w:eastAsia="Times New Roman" w:hAnsi="Arial" w:cs="Arial"/>
                <w:b/>
                <w:bCs/>
                <w:sz w:val="20"/>
                <w:szCs w:val="20"/>
              </w:rPr>
              <w:t>Rs</w:t>
            </w:r>
            <w:proofErr w:type="spellEnd"/>
            <w:r w:rsidRPr="004453CC">
              <w:rPr>
                <w:rFonts w:ascii="Arial" w:eastAsia="Times New Roman" w:hAnsi="Arial" w:cs="Arial"/>
                <w:b/>
                <w:bCs/>
                <w:sz w:val="20"/>
                <w:szCs w:val="20"/>
              </w:rPr>
              <w:t>.</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 xml:space="preserve">Total Nominal Value </w:t>
            </w:r>
            <w:proofErr w:type="spellStart"/>
            <w:r w:rsidRPr="004453CC">
              <w:rPr>
                <w:rFonts w:ascii="Arial" w:eastAsia="Times New Roman" w:hAnsi="Arial" w:cs="Arial"/>
                <w:b/>
                <w:bCs/>
                <w:sz w:val="20"/>
                <w:szCs w:val="20"/>
              </w:rPr>
              <w:t>Rs</w:t>
            </w:r>
            <w:proofErr w:type="spellEnd"/>
            <w:r w:rsidRPr="004453CC">
              <w:rPr>
                <w:rFonts w:ascii="Arial" w:eastAsia="Times New Roman" w:hAnsi="Arial" w:cs="Arial"/>
                <w:b/>
                <w:bCs/>
                <w:sz w:val="20"/>
                <w:szCs w:val="20"/>
              </w:rPr>
              <w:t>.</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 xml:space="preserve">Total Paid-up Value </w:t>
            </w:r>
            <w:proofErr w:type="spellStart"/>
            <w:r w:rsidRPr="004453CC">
              <w:rPr>
                <w:rFonts w:ascii="Arial" w:eastAsia="Times New Roman" w:hAnsi="Arial" w:cs="Arial"/>
                <w:b/>
                <w:bCs/>
                <w:sz w:val="20"/>
                <w:szCs w:val="20"/>
              </w:rPr>
              <w:t>Rs</w:t>
            </w:r>
            <w:proofErr w:type="spellEnd"/>
            <w:r w:rsidRPr="004453CC">
              <w:rPr>
                <w:rFonts w:ascii="Arial" w:eastAsia="Times New Roman" w:hAnsi="Arial" w:cs="Arial"/>
                <w:b/>
                <w:bCs/>
                <w:sz w:val="20"/>
                <w:szCs w:val="20"/>
              </w:rPr>
              <w:t>.</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Distinctive Numbers</w:t>
            </w:r>
          </w:p>
        </w:tc>
      </w:tr>
      <w:tr w:rsidR="004453CC" w:rsidRPr="004453CC" w:rsidTr="004453CC">
        <w:trPr>
          <w:trHeight w:val="10682"/>
        </w:trPr>
        <w:tc>
          <w:tcPr>
            <w:tcW w:w="9576"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before="120" w:line="240" w:lineRule="auto"/>
              <w:jc w:val="both"/>
              <w:rPr>
                <w:rFonts w:ascii="Calibri" w:eastAsia="Times New Roman" w:hAnsi="Calibri" w:cs="Calibri"/>
              </w:rPr>
            </w:pPr>
            <w:r w:rsidRPr="004453CC">
              <w:rPr>
                <w:rFonts w:ascii="Arial" w:eastAsia="Times New Roman" w:hAnsi="Arial" w:cs="Arial"/>
                <w:sz w:val="20"/>
                <w:szCs w:val="20"/>
              </w:rPr>
              <w:lastRenderedPageBreak/>
              <w:t> </w:t>
            </w:r>
          </w:p>
        </w:tc>
      </w:tr>
    </w:tbl>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 </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Schedule II</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Issuer's listed Securities</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w:t>
      </w:r>
      <w:proofErr w:type="gramStart"/>
      <w:r w:rsidRPr="004453CC">
        <w:rPr>
          <w:rFonts w:ascii="Arial" w:eastAsia="Times New Roman" w:hAnsi="Arial" w:cs="Arial"/>
          <w:b/>
          <w:bCs/>
          <w:color w:val="000000"/>
          <w:sz w:val="20"/>
          <w:szCs w:val="20"/>
        </w:rPr>
        <w:t>for</w:t>
      </w:r>
      <w:proofErr w:type="gramEnd"/>
      <w:r w:rsidRPr="004453CC">
        <w:rPr>
          <w:rFonts w:ascii="Arial" w:eastAsia="Times New Roman" w:hAnsi="Arial" w:cs="Arial"/>
          <w:b/>
          <w:bCs/>
          <w:color w:val="000000"/>
          <w:sz w:val="20"/>
          <w:szCs w:val="20"/>
        </w:rPr>
        <w:t xml:space="preserve"> securities other than shares)</w:t>
      </w:r>
    </w:p>
    <w:tbl>
      <w:tblPr>
        <w:tblW w:w="0" w:type="auto"/>
        <w:tblCellMar>
          <w:left w:w="0" w:type="dxa"/>
          <w:right w:w="0" w:type="dxa"/>
        </w:tblCellMar>
        <w:tblLook w:val="04A0" w:firstRow="1" w:lastRow="0" w:firstColumn="1" w:lastColumn="0" w:noHBand="0" w:noVBand="1"/>
      </w:tblPr>
      <w:tblGrid>
        <w:gridCol w:w="1368"/>
        <w:gridCol w:w="1367"/>
        <w:gridCol w:w="1367"/>
        <w:gridCol w:w="1367"/>
        <w:gridCol w:w="1367"/>
        <w:gridCol w:w="1372"/>
        <w:gridCol w:w="1368"/>
      </w:tblGrid>
      <w:tr w:rsidR="004453CC" w:rsidRPr="004453CC" w:rsidTr="004453CC">
        <w:tc>
          <w:tcPr>
            <w:tcW w:w="1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 xml:space="preserve">Kind of </w:t>
            </w:r>
            <w:r w:rsidRPr="004453CC">
              <w:rPr>
                <w:rFonts w:ascii="Arial" w:eastAsia="Times New Roman" w:hAnsi="Arial" w:cs="Arial"/>
                <w:b/>
                <w:bCs/>
                <w:sz w:val="20"/>
                <w:szCs w:val="20"/>
              </w:rPr>
              <w:lastRenderedPageBreak/>
              <w:t>Security</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lastRenderedPageBreak/>
              <w:t xml:space="preserve">Amount </w:t>
            </w:r>
            <w:r w:rsidRPr="004453CC">
              <w:rPr>
                <w:rFonts w:ascii="Arial" w:eastAsia="Times New Roman" w:hAnsi="Arial" w:cs="Arial"/>
                <w:b/>
                <w:bCs/>
                <w:sz w:val="20"/>
                <w:szCs w:val="20"/>
              </w:rPr>
              <w:lastRenderedPageBreak/>
              <w:t>(</w:t>
            </w:r>
            <w:proofErr w:type="spellStart"/>
            <w:r w:rsidRPr="004453CC">
              <w:rPr>
                <w:rFonts w:ascii="Arial" w:eastAsia="Times New Roman" w:hAnsi="Arial" w:cs="Arial"/>
                <w:b/>
                <w:bCs/>
                <w:sz w:val="20"/>
                <w:szCs w:val="20"/>
              </w:rPr>
              <w:t>Rs</w:t>
            </w:r>
            <w:proofErr w:type="spellEnd"/>
            <w:r w:rsidRPr="004453CC">
              <w:rPr>
                <w:rFonts w:ascii="Arial" w:eastAsia="Times New Roman" w:hAnsi="Arial" w:cs="Arial"/>
                <w:b/>
                <w:bCs/>
                <w:sz w:val="20"/>
                <w:szCs w:val="20"/>
              </w:rPr>
              <w:t>.)</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lastRenderedPageBreak/>
              <w:t>Unit (</w:t>
            </w:r>
            <w:proofErr w:type="spellStart"/>
            <w:r w:rsidRPr="004453CC">
              <w:rPr>
                <w:rFonts w:ascii="Arial" w:eastAsia="Times New Roman" w:hAnsi="Arial" w:cs="Arial"/>
                <w:b/>
                <w:bCs/>
                <w:sz w:val="20"/>
                <w:szCs w:val="20"/>
              </w:rPr>
              <w:t>Rs</w:t>
            </w:r>
            <w:proofErr w:type="spellEnd"/>
            <w:r w:rsidRPr="004453CC">
              <w:rPr>
                <w:rFonts w:ascii="Arial" w:eastAsia="Times New Roman" w:hAnsi="Arial" w:cs="Arial"/>
                <w:b/>
                <w:bCs/>
                <w:sz w:val="20"/>
                <w:szCs w:val="20"/>
              </w:rPr>
              <w:t>.)</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 xml:space="preserve">Rate of </w:t>
            </w:r>
            <w:r w:rsidRPr="004453CC">
              <w:rPr>
                <w:rFonts w:ascii="Arial" w:eastAsia="Times New Roman" w:hAnsi="Arial" w:cs="Arial"/>
                <w:b/>
                <w:bCs/>
                <w:sz w:val="20"/>
                <w:szCs w:val="20"/>
              </w:rPr>
              <w:lastRenderedPageBreak/>
              <w:t>Interest %</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lastRenderedPageBreak/>
              <w:t xml:space="preserve">Interest due </w:t>
            </w:r>
            <w:r w:rsidRPr="004453CC">
              <w:rPr>
                <w:rFonts w:ascii="Arial" w:eastAsia="Times New Roman" w:hAnsi="Arial" w:cs="Arial"/>
                <w:b/>
                <w:bCs/>
                <w:sz w:val="20"/>
                <w:szCs w:val="20"/>
              </w:rPr>
              <w:lastRenderedPageBreak/>
              <w:t>Date</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lastRenderedPageBreak/>
              <w:t xml:space="preserve">Date of </w:t>
            </w:r>
            <w:r w:rsidRPr="004453CC">
              <w:rPr>
                <w:rFonts w:ascii="Arial" w:eastAsia="Times New Roman" w:hAnsi="Arial" w:cs="Arial"/>
                <w:b/>
                <w:bCs/>
                <w:sz w:val="20"/>
                <w:szCs w:val="20"/>
              </w:rPr>
              <w:lastRenderedPageBreak/>
              <w:t>Redemption</w:t>
            </w:r>
          </w:p>
        </w:tc>
        <w:tc>
          <w:tcPr>
            <w:tcW w:w="13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lastRenderedPageBreak/>
              <w:t xml:space="preserve">Distinctive </w:t>
            </w:r>
            <w:r w:rsidRPr="004453CC">
              <w:rPr>
                <w:rFonts w:ascii="Arial" w:eastAsia="Times New Roman" w:hAnsi="Arial" w:cs="Arial"/>
                <w:b/>
                <w:bCs/>
                <w:sz w:val="20"/>
                <w:szCs w:val="20"/>
              </w:rPr>
              <w:lastRenderedPageBreak/>
              <w:t>Numbers</w:t>
            </w:r>
          </w:p>
        </w:tc>
      </w:tr>
      <w:tr w:rsidR="004453CC" w:rsidRPr="004453CC" w:rsidTr="004453CC">
        <w:trPr>
          <w:trHeight w:val="11942"/>
        </w:trPr>
        <w:tc>
          <w:tcPr>
            <w:tcW w:w="9576"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before="120" w:line="240" w:lineRule="auto"/>
              <w:jc w:val="center"/>
              <w:rPr>
                <w:rFonts w:ascii="Calibri" w:eastAsia="Times New Roman" w:hAnsi="Calibri" w:cs="Calibri"/>
              </w:rPr>
            </w:pPr>
            <w:r w:rsidRPr="004453CC">
              <w:rPr>
                <w:rFonts w:ascii="Arial" w:eastAsia="Times New Roman" w:hAnsi="Arial" w:cs="Arial"/>
                <w:b/>
                <w:bCs/>
                <w:sz w:val="20"/>
                <w:szCs w:val="20"/>
              </w:rPr>
              <w:lastRenderedPageBreak/>
              <w:t> </w:t>
            </w:r>
          </w:p>
        </w:tc>
      </w:tr>
    </w:tbl>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 </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lastRenderedPageBreak/>
        <w:t>Schedule III</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LISTING FEES</w:t>
      </w:r>
    </w:p>
    <w:p w:rsidR="004453CC" w:rsidRPr="004453CC" w:rsidRDefault="004453CC" w:rsidP="004453CC">
      <w:pPr>
        <w:spacing w:before="120" w:line="240" w:lineRule="auto"/>
        <w:jc w:val="center"/>
        <w:rPr>
          <w:rFonts w:ascii="Calibri" w:eastAsia="Times New Roman" w:hAnsi="Calibri" w:cs="Calibri"/>
          <w:color w:val="000000"/>
        </w:rPr>
      </w:pPr>
      <w:proofErr w:type="gramStart"/>
      <w:r w:rsidRPr="004453CC">
        <w:rPr>
          <w:rFonts w:ascii="Arial" w:eastAsia="Times New Roman" w:hAnsi="Arial" w:cs="Arial"/>
          <w:b/>
          <w:bCs/>
          <w:color w:val="000000"/>
          <w:sz w:val="20"/>
          <w:szCs w:val="20"/>
        </w:rPr>
        <w:t>Sr. No.</w:t>
      </w:r>
      <w:proofErr w:type="gramEnd"/>
      <w:r w:rsidRPr="004453CC">
        <w:rPr>
          <w:rFonts w:ascii="Arial" w:eastAsia="Times New Roman" w:hAnsi="Arial" w:cs="Arial"/>
          <w:b/>
          <w:bCs/>
          <w:color w:val="000000"/>
          <w:sz w:val="20"/>
          <w:szCs w:val="20"/>
        </w:rPr>
        <w:t xml:space="preserve"> Particulars Amount (</w:t>
      </w:r>
      <w:proofErr w:type="spellStart"/>
      <w:r w:rsidRPr="004453CC">
        <w:rPr>
          <w:rFonts w:ascii="Arial" w:eastAsia="Times New Roman" w:hAnsi="Arial" w:cs="Arial"/>
          <w:b/>
          <w:bCs/>
          <w:color w:val="000000"/>
          <w:sz w:val="20"/>
          <w:szCs w:val="20"/>
        </w:rPr>
        <w:t>Rs</w:t>
      </w:r>
      <w:proofErr w:type="spellEnd"/>
      <w:r w:rsidRPr="004453CC">
        <w:rPr>
          <w:rFonts w:ascii="Arial" w:eastAsia="Times New Roman" w:hAnsi="Arial" w:cs="Arial"/>
          <w:b/>
          <w:bCs/>
          <w:color w:val="000000"/>
          <w:sz w:val="20"/>
          <w:szCs w:val="20"/>
        </w:rPr>
        <w:t>.)</w:t>
      </w:r>
    </w:p>
    <w:tbl>
      <w:tblPr>
        <w:tblW w:w="0" w:type="auto"/>
        <w:tblCellMar>
          <w:left w:w="0" w:type="dxa"/>
          <w:right w:w="0" w:type="dxa"/>
        </w:tblCellMar>
        <w:tblLook w:val="04A0" w:firstRow="1" w:lastRow="0" w:firstColumn="1" w:lastColumn="0" w:noHBand="0" w:noVBand="1"/>
      </w:tblPr>
      <w:tblGrid>
        <w:gridCol w:w="3192"/>
        <w:gridCol w:w="3192"/>
        <w:gridCol w:w="3192"/>
      </w:tblGrid>
      <w:tr w:rsidR="004453CC" w:rsidRPr="004453CC" w:rsidTr="004453C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center"/>
              <w:rPr>
                <w:rFonts w:ascii="Calibri" w:eastAsia="Times New Roman" w:hAnsi="Calibri" w:cs="Calibri"/>
              </w:rPr>
            </w:pPr>
            <w:r w:rsidRPr="004453CC">
              <w:rPr>
                <w:rFonts w:ascii="Arial" w:eastAsia="Times New Roman" w:hAnsi="Arial" w:cs="Arial"/>
                <w:sz w:val="20"/>
                <w:szCs w:val="20"/>
              </w:rPr>
              <w:t>Sr. No.</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center"/>
              <w:rPr>
                <w:rFonts w:ascii="Calibri" w:eastAsia="Times New Roman" w:hAnsi="Calibri" w:cs="Calibri"/>
              </w:rPr>
            </w:pPr>
            <w:r w:rsidRPr="004453CC">
              <w:rPr>
                <w:rFonts w:ascii="Arial" w:eastAsia="Times New Roman" w:hAnsi="Arial" w:cs="Arial"/>
                <w:sz w:val="20"/>
                <w:szCs w:val="20"/>
              </w:rPr>
              <w:t>Particulars</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center"/>
              <w:rPr>
                <w:rFonts w:ascii="Calibri" w:eastAsia="Times New Roman" w:hAnsi="Calibri" w:cs="Calibri"/>
              </w:rPr>
            </w:pPr>
            <w:r w:rsidRPr="004453CC">
              <w:rPr>
                <w:rFonts w:ascii="Arial" w:eastAsia="Times New Roman" w:hAnsi="Arial" w:cs="Arial"/>
                <w:sz w:val="20"/>
                <w:szCs w:val="20"/>
              </w:rPr>
              <w:t>Amount (</w:t>
            </w: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w:t>
            </w:r>
          </w:p>
        </w:tc>
      </w:tr>
      <w:tr w:rsidR="004453CC" w:rsidRPr="004453CC" w:rsidTr="004453CC">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1.</w:t>
            </w:r>
          </w:p>
        </w:tc>
        <w:tc>
          <w:tcPr>
            <w:tcW w:w="3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Initial Listing Fees</w:t>
            </w:r>
          </w:p>
        </w:tc>
        <w:tc>
          <w:tcPr>
            <w:tcW w:w="3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7500</w:t>
            </w:r>
          </w:p>
        </w:tc>
      </w:tr>
      <w:tr w:rsidR="004453CC" w:rsidRPr="004453CC" w:rsidTr="004453CC">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2.</w:t>
            </w:r>
          </w:p>
        </w:tc>
        <w:tc>
          <w:tcPr>
            <w:tcW w:w="3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rPr>
                <w:rFonts w:ascii="Calibri" w:eastAsia="Times New Roman" w:hAnsi="Calibri" w:cs="Calibri"/>
              </w:rPr>
            </w:pPr>
            <w:r w:rsidRPr="004453CC">
              <w:rPr>
                <w:rFonts w:ascii="Arial" w:eastAsia="Times New Roman" w:hAnsi="Arial" w:cs="Arial"/>
                <w:sz w:val="20"/>
                <w:szCs w:val="20"/>
              </w:rPr>
              <w:t>Annual Listing Fees</w:t>
            </w:r>
          </w:p>
          <w:p w:rsidR="004453CC" w:rsidRPr="004453CC" w:rsidRDefault="004453CC" w:rsidP="004453CC">
            <w:pPr>
              <w:spacing w:after="0" w:line="240" w:lineRule="auto"/>
              <w:ind w:left="720" w:hanging="360"/>
              <w:rPr>
                <w:rFonts w:ascii="Calibri" w:eastAsia="Times New Roman" w:hAnsi="Calibri" w:cs="Calibri"/>
              </w:rPr>
            </w:pPr>
            <w:r w:rsidRPr="004453CC">
              <w:rPr>
                <w:rFonts w:ascii="Arial" w:eastAsia="Times New Roman" w:hAnsi="Arial" w:cs="Arial"/>
                <w:sz w:val="20"/>
                <w:szCs w:val="20"/>
              </w:rPr>
              <w:t>a.</w:t>
            </w:r>
            <w:r w:rsidRPr="004453CC">
              <w:rPr>
                <w:rFonts w:ascii="Times New Roman" w:eastAsia="Times New Roman" w:hAnsi="Times New Roman" w:cs="Times New Roman"/>
                <w:sz w:val="14"/>
                <w:szCs w:val="14"/>
              </w:rPr>
              <w:t>     </w:t>
            </w:r>
            <w:r w:rsidRPr="004453CC">
              <w:rPr>
                <w:rFonts w:ascii="Arial" w:eastAsia="Times New Roman" w:hAnsi="Arial" w:cs="Arial"/>
                <w:sz w:val="20"/>
                <w:szCs w:val="20"/>
              </w:rPr>
              <w:t xml:space="preserve">Companies with paid up Share and /or debenture capital of </w:t>
            </w: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xml:space="preserve">. 1 </w:t>
            </w:r>
            <w:proofErr w:type="spellStart"/>
            <w:r w:rsidRPr="004453CC">
              <w:rPr>
                <w:rFonts w:ascii="Arial" w:eastAsia="Times New Roman" w:hAnsi="Arial" w:cs="Arial"/>
                <w:sz w:val="20"/>
                <w:szCs w:val="20"/>
              </w:rPr>
              <w:t>Crore</w:t>
            </w:r>
            <w:proofErr w:type="spellEnd"/>
          </w:p>
          <w:p w:rsidR="004453CC" w:rsidRPr="004453CC" w:rsidRDefault="004453CC" w:rsidP="004453CC">
            <w:pPr>
              <w:spacing w:after="0" w:line="240" w:lineRule="auto"/>
              <w:ind w:left="720" w:hanging="360"/>
              <w:rPr>
                <w:rFonts w:ascii="Calibri" w:eastAsia="Times New Roman" w:hAnsi="Calibri" w:cs="Calibri"/>
              </w:rPr>
            </w:pPr>
            <w:r w:rsidRPr="004453CC">
              <w:rPr>
                <w:rFonts w:ascii="Arial" w:eastAsia="Times New Roman" w:hAnsi="Arial" w:cs="Arial"/>
                <w:sz w:val="20"/>
                <w:szCs w:val="20"/>
              </w:rPr>
              <w:t>b.</w:t>
            </w:r>
            <w:r w:rsidRPr="004453CC">
              <w:rPr>
                <w:rFonts w:ascii="Times New Roman" w:eastAsia="Times New Roman" w:hAnsi="Times New Roman" w:cs="Times New Roman"/>
                <w:sz w:val="14"/>
                <w:szCs w:val="14"/>
              </w:rPr>
              <w:t>    </w:t>
            </w:r>
            <w:r w:rsidRPr="004453CC">
              <w:rPr>
                <w:rFonts w:ascii="Arial" w:eastAsia="Times New Roman" w:hAnsi="Arial" w:cs="Arial"/>
                <w:sz w:val="20"/>
                <w:szCs w:val="20"/>
              </w:rPr>
              <w:t xml:space="preserve">Above </w:t>
            </w: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xml:space="preserve">. 1 </w:t>
            </w:r>
            <w:proofErr w:type="spellStart"/>
            <w:r w:rsidRPr="004453CC">
              <w:rPr>
                <w:rFonts w:ascii="Arial" w:eastAsia="Times New Roman" w:hAnsi="Arial" w:cs="Arial"/>
                <w:sz w:val="20"/>
                <w:szCs w:val="20"/>
              </w:rPr>
              <w:t>Crore</w:t>
            </w:r>
            <w:proofErr w:type="spellEnd"/>
            <w:r w:rsidRPr="004453CC">
              <w:rPr>
                <w:rFonts w:ascii="Arial" w:eastAsia="Times New Roman" w:hAnsi="Arial" w:cs="Arial"/>
                <w:sz w:val="20"/>
                <w:szCs w:val="20"/>
              </w:rPr>
              <w:t xml:space="preserve"> and </w:t>
            </w:r>
            <w:proofErr w:type="spellStart"/>
            <w:r w:rsidRPr="004453CC">
              <w:rPr>
                <w:rFonts w:ascii="Arial" w:eastAsia="Times New Roman" w:hAnsi="Arial" w:cs="Arial"/>
                <w:sz w:val="20"/>
                <w:szCs w:val="20"/>
              </w:rPr>
              <w:t>upto</w:t>
            </w:r>
            <w:proofErr w:type="spellEnd"/>
            <w:r w:rsidRPr="004453CC">
              <w:rPr>
                <w:rFonts w:ascii="Arial" w:eastAsia="Times New Roman" w:hAnsi="Arial" w:cs="Arial"/>
                <w:sz w:val="20"/>
                <w:szCs w:val="20"/>
              </w:rPr>
              <w:t xml:space="preserve"> Rs.5 </w:t>
            </w:r>
            <w:proofErr w:type="spellStart"/>
            <w:r w:rsidRPr="004453CC">
              <w:rPr>
                <w:rFonts w:ascii="Arial" w:eastAsia="Times New Roman" w:hAnsi="Arial" w:cs="Arial"/>
                <w:sz w:val="20"/>
                <w:szCs w:val="20"/>
              </w:rPr>
              <w:t>Crores</w:t>
            </w:r>
            <w:proofErr w:type="spellEnd"/>
          </w:p>
          <w:p w:rsidR="004453CC" w:rsidRPr="004453CC" w:rsidRDefault="004453CC" w:rsidP="004453CC">
            <w:pPr>
              <w:spacing w:after="0" w:line="240" w:lineRule="auto"/>
              <w:ind w:left="720" w:hanging="360"/>
              <w:rPr>
                <w:rFonts w:ascii="Calibri" w:eastAsia="Times New Roman" w:hAnsi="Calibri" w:cs="Calibri"/>
              </w:rPr>
            </w:pPr>
            <w:r w:rsidRPr="004453CC">
              <w:rPr>
                <w:rFonts w:ascii="Arial" w:eastAsia="Times New Roman" w:hAnsi="Arial" w:cs="Arial"/>
                <w:sz w:val="20"/>
                <w:szCs w:val="20"/>
              </w:rPr>
              <w:t>c.</w:t>
            </w:r>
            <w:r w:rsidRPr="004453CC">
              <w:rPr>
                <w:rFonts w:ascii="Times New Roman" w:eastAsia="Times New Roman" w:hAnsi="Times New Roman" w:cs="Times New Roman"/>
                <w:sz w:val="14"/>
                <w:szCs w:val="14"/>
              </w:rPr>
              <w:t>     </w:t>
            </w:r>
            <w:r w:rsidRPr="004453CC">
              <w:rPr>
                <w:rFonts w:ascii="Arial" w:eastAsia="Times New Roman" w:hAnsi="Arial" w:cs="Arial"/>
                <w:sz w:val="20"/>
                <w:szCs w:val="20"/>
              </w:rPr>
              <w:t xml:space="preserve">Above </w:t>
            </w: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xml:space="preserve">. 5 </w:t>
            </w:r>
            <w:proofErr w:type="spellStart"/>
            <w:r w:rsidRPr="004453CC">
              <w:rPr>
                <w:rFonts w:ascii="Arial" w:eastAsia="Times New Roman" w:hAnsi="Arial" w:cs="Arial"/>
                <w:sz w:val="20"/>
                <w:szCs w:val="20"/>
              </w:rPr>
              <w:t>Crore</w:t>
            </w:r>
            <w:proofErr w:type="spellEnd"/>
            <w:r w:rsidRPr="004453CC">
              <w:rPr>
                <w:rFonts w:ascii="Arial" w:eastAsia="Times New Roman" w:hAnsi="Arial" w:cs="Arial"/>
                <w:sz w:val="20"/>
                <w:szCs w:val="20"/>
              </w:rPr>
              <w:t xml:space="preserve"> and </w:t>
            </w:r>
            <w:proofErr w:type="spellStart"/>
            <w:r w:rsidRPr="004453CC">
              <w:rPr>
                <w:rFonts w:ascii="Arial" w:eastAsia="Times New Roman" w:hAnsi="Arial" w:cs="Arial"/>
                <w:sz w:val="20"/>
                <w:szCs w:val="20"/>
              </w:rPr>
              <w:t>upto</w:t>
            </w:r>
            <w:proofErr w:type="spellEnd"/>
            <w:r w:rsidRPr="004453CC">
              <w:rPr>
                <w:rFonts w:ascii="Arial" w:eastAsia="Times New Roman" w:hAnsi="Arial" w:cs="Arial"/>
                <w:sz w:val="20"/>
                <w:szCs w:val="20"/>
              </w:rPr>
              <w:t xml:space="preserve"> Rs.10 </w:t>
            </w:r>
            <w:proofErr w:type="spellStart"/>
            <w:r w:rsidRPr="004453CC">
              <w:rPr>
                <w:rFonts w:ascii="Arial" w:eastAsia="Times New Roman" w:hAnsi="Arial" w:cs="Arial"/>
                <w:sz w:val="20"/>
                <w:szCs w:val="20"/>
              </w:rPr>
              <w:t>Crores</w:t>
            </w:r>
            <w:proofErr w:type="spellEnd"/>
          </w:p>
          <w:p w:rsidR="004453CC" w:rsidRPr="004453CC" w:rsidRDefault="004453CC" w:rsidP="004453CC">
            <w:pPr>
              <w:spacing w:after="0" w:line="240" w:lineRule="auto"/>
              <w:ind w:left="720" w:hanging="360"/>
              <w:rPr>
                <w:rFonts w:ascii="Calibri" w:eastAsia="Times New Roman" w:hAnsi="Calibri" w:cs="Calibri"/>
              </w:rPr>
            </w:pPr>
            <w:r w:rsidRPr="004453CC">
              <w:rPr>
                <w:rFonts w:ascii="Arial" w:eastAsia="Times New Roman" w:hAnsi="Arial" w:cs="Arial"/>
                <w:sz w:val="20"/>
                <w:szCs w:val="20"/>
              </w:rPr>
              <w:t>d.</w:t>
            </w:r>
            <w:r w:rsidRPr="004453CC">
              <w:rPr>
                <w:rFonts w:ascii="Times New Roman" w:eastAsia="Times New Roman" w:hAnsi="Times New Roman" w:cs="Times New Roman"/>
                <w:sz w:val="14"/>
                <w:szCs w:val="14"/>
              </w:rPr>
              <w:t>    </w:t>
            </w:r>
            <w:r w:rsidRPr="004453CC">
              <w:rPr>
                <w:rFonts w:ascii="Arial" w:eastAsia="Times New Roman" w:hAnsi="Arial" w:cs="Arial"/>
                <w:sz w:val="20"/>
                <w:szCs w:val="20"/>
              </w:rPr>
              <w:t xml:space="preserve">Above </w:t>
            </w: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xml:space="preserve">. 10 </w:t>
            </w:r>
            <w:proofErr w:type="spellStart"/>
            <w:r w:rsidRPr="004453CC">
              <w:rPr>
                <w:rFonts w:ascii="Arial" w:eastAsia="Times New Roman" w:hAnsi="Arial" w:cs="Arial"/>
                <w:sz w:val="20"/>
                <w:szCs w:val="20"/>
              </w:rPr>
              <w:t>Crore</w:t>
            </w:r>
            <w:proofErr w:type="spellEnd"/>
            <w:r w:rsidRPr="004453CC">
              <w:rPr>
                <w:rFonts w:ascii="Arial" w:eastAsia="Times New Roman" w:hAnsi="Arial" w:cs="Arial"/>
                <w:sz w:val="20"/>
                <w:szCs w:val="20"/>
              </w:rPr>
              <w:t xml:space="preserve"> and </w:t>
            </w:r>
            <w:proofErr w:type="spellStart"/>
            <w:r w:rsidRPr="004453CC">
              <w:rPr>
                <w:rFonts w:ascii="Arial" w:eastAsia="Times New Roman" w:hAnsi="Arial" w:cs="Arial"/>
                <w:sz w:val="20"/>
                <w:szCs w:val="20"/>
              </w:rPr>
              <w:t>upto</w:t>
            </w:r>
            <w:proofErr w:type="spellEnd"/>
            <w:r w:rsidRPr="004453CC">
              <w:rPr>
                <w:rFonts w:ascii="Arial" w:eastAsia="Times New Roman" w:hAnsi="Arial" w:cs="Arial"/>
                <w:sz w:val="20"/>
                <w:szCs w:val="20"/>
              </w:rPr>
              <w:t xml:space="preserve"> Rs.20 </w:t>
            </w:r>
            <w:proofErr w:type="spellStart"/>
            <w:r w:rsidRPr="004453CC">
              <w:rPr>
                <w:rFonts w:ascii="Arial" w:eastAsia="Times New Roman" w:hAnsi="Arial" w:cs="Arial"/>
                <w:sz w:val="20"/>
                <w:szCs w:val="20"/>
              </w:rPr>
              <w:t>Crores</w:t>
            </w:r>
            <w:proofErr w:type="spellEnd"/>
          </w:p>
          <w:p w:rsidR="004453CC" w:rsidRPr="004453CC" w:rsidRDefault="004453CC" w:rsidP="004453CC">
            <w:pPr>
              <w:spacing w:after="0" w:line="240" w:lineRule="auto"/>
              <w:ind w:left="720" w:hanging="360"/>
              <w:rPr>
                <w:rFonts w:ascii="Calibri" w:eastAsia="Times New Roman" w:hAnsi="Calibri" w:cs="Calibri"/>
              </w:rPr>
            </w:pPr>
            <w:r w:rsidRPr="004453CC">
              <w:rPr>
                <w:rFonts w:ascii="Arial" w:eastAsia="Times New Roman" w:hAnsi="Arial" w:cs="Arial"/>
                <w:sz w:val="20"/>
                <w:szCs w:val="20"/>
              </w:rPr>
              <w:t>e.</w:t>
            </w:r>
            <w:r w:rsidRPr="004453CC">
              <w:rPr>
                <w:rFonts w:ascii="Times New Roman" w:eastAsia="Times New Roman" w:hAnsi="Times New Roman" w:cs="Times New Roman"/>
                <w:sz w:val="14"/>
                <w:szCs w:val="14"/>
              </w:rPr>
              <w:t>     </w:t>
            </w:r>
            <w:r w:rsidRPr="004453CC">
              <w:rPr>
                <w:rFonts w:ascii="Arial" w:eastAsia="Times New Roman" w:hAnsi="Arial" w:cs="Arial"/>
                <w:sz w:val="20"/>
                <w:szCs w:val="20"/>
              </w:rPr>
              <w:t xml:space="preserve">Above </w:t>
            </w: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xml:space="preserve">. 20 </w:t>
            </w:r>
            <w:proofErr w:type="spellStart"/>
            <w:r w:rsidRPr="004453CC">
              <w:rPr>
                <w:rFonts w:ascii="Arial" w:eastAsia="Times New Roman" w:hAnsi="Arial" w:cs="Arial"/>
                <w:sz w:val="20"/>
                <w:szCs w:val="20"/>
              </w:rPr>
              <w:t>Crore</w:t>
            </w:r>
            <w:proofErr w:type="spellEnd"/>
            <w:r w:rsidRPr="004453CC">
              <w:rPr>
                <w:rFonts w:ascii="Arial" w:eastAsia="Times New Roman" w:hAnsi="Arial" w:cs="Arial"/>
                <w:sz w:val="20"/>
                <w:szCs w:val="20"/>
              </w:rPr>
              <w:t xml:space="preserve"> and </w:t>
            </w:r>
            <w:proofErr w:type="spellStart"/>
            <w:r w:rsidRPr="004453CC">
              <w:rPr>
                <w:rFonts w:ascii="Arial" w:eastAsia="Times New Roman" w:hAnsi="Arial" w:cs="Arial"/>
                <w:sz w:val="20"/>
                <w:szCs w:val="20"/>
              </w:rPr>
              <w:t>upto</w:t>
            </w:r>
            <w:proofErr w:type="spellEnd"/>
            <w:r w:rsidRPr="004453CC">
              <w:rPr>
                <w:rFonts w:ascii="Arial" w:eastAsia="Times New Roman" w:hAnsi="Arial" w:cs="Arial"/>
                <w:sz w:val="20"/>
                <w:szCs w:val="20"/>
              </w:rPr>
              <w:t xml:space="preserve"> Rs.50 </w:t>
            </w:r>
            <w:proofErr w:type="spellStart"/>
            <w:r w:rsidRPr="004453CC">
              <w:rPr>
                <w:rFonts w:ascii="Arial" w:eastAsia="Times New Roman" w:hAnsi="Arial" w:cs="Arial"/>
                <w:sz w:val="20"/>
                <w:szCs w:val="20"/>
              </w:rPr>
              <w:t>Crores</w:t>
            </w:r>
            <w:proofErr w:type="spellEnd"/>
          </w:p>
          <w:p w:rsidR="004453CC" w:rsidRPr="004453CC" w:rsidRDefault="004453CC" w:rsidP="004453CC">
            <w:pPr>
              <w:spacing w:after="0" w:line="240" w:lineRule="auto"/>
              <w:ind w:left="720" w:hanging="360"/>
              <w:jc w:val="both"/>
              <w:rPr>
                <w:rFonts w:ascii="Calibri" w:eastAsia="Times New Roman" w:hAnsi="Calibri" w:cs="Calibri"/>
              </w:rPr>
            </w:pPr>
            <w:r w:rsidRPr="004453CC">
              <w:rPr>
                <w:rFonts w:ascii="Arial" w:eastAsia="Times New Roman" w:hAnsi="Arial" w:cs="Arial"/>
                <w:sz w:val="20"/>
                <w:szCs w:val="20"/>
              </w:rPr>
              <w:t>f.</w:t>
            </w:r>
            <w:r w:rsidRPr="004453CC">
              <w:rPr>
                <w:rFonts w:ascii="Times New Roman" w:eastAsia="Times New Roman" w:hAnsi="Times New Roman" w:cs="Times New Roman"/>
                <w:sz w:val="14"/>
                <w:szCs w:val="14"/>
              </w:rPr>
              <w:t>     </w:t>
            </w:r>
            <w:r w:rsidRPr="004453CC">
              <w:rPr>
                <w:rFonts w:ascii="Arial" w:eastAsia="Times New Roman" w:hAnsi="Arial" w:cs="Arial"/>
                <w:sz w:val="20"/>
                <w:szCs w:val="20"/>
              </w:rPr>
              <w:t xml:space="preserve">Above </w:t>
            </w: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xml:space="preserve">. 50 </w:t>
            </w:r>
            <w:proofErr w:type="spellStart"/>
            <w:r w:rsidRPr="004453CC">
              <w:rPr>
                <w:rFonts w:ascii="Arial" w:eastAsia="Times New Roman" w:hAnsi="Arial" w:cs="Arial"/>
                <w:sz w:val="20"/>
                <w:szCs w:val="20"/>
              </w:rPr>
              <w:t>Crores</w:t>
            </w:r>
            <w:proofErr w:type="spellEnd"/>
          </w:p>
        </w:tc>
        <w:tc>
          <w:tcPr>
            <w:tcW w:w="3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rPr>
                <w:rFonts w:ascii="Calibri" w:eastAsia="Times New Roman" w:hAnsi="Calibri" w:cs="Calibri"/>
              </w:rPr>
            </w:pPr>
            <w:r w:rsidRPr="004453CC">
              <w:rPr>
                <w:rFonts w:ascii="Arial" w:eastAsia="Times New Roman" w:hAnsi="Arial" w:cs="Arial"/>
                <w:sz w:val="20"/>
                <w:szCs w:val="20"/>
              </w:rPr>
              <w:t> </w:t>
            </w:r>
          </w:p>
          <w:p w:rsidR="004453CC" w:rsidRPr="004453CC" w:rsidRDefault="004453CC" w:rsidP="004453CC">
            <w:pPr>
              <w:spacing w:after="0" w:line="240" w:lineRule="auto"/>
              <w:rPr>
                <w:rFonts w:ascii="Calibri" w:eastAsia="Times New Roman" w:hAnsi="Calibri" w:cs="Calibri"/>
              </w:rPr>
            </w:pPr>
            <w:r w:rsidRPr="004453CC">
              <w:rPr>
                <w:rFonts w:ascii="Arial" w:eastAsia="Times New Roman" w:hAnsi="Arial" w:cs="Arial"/>
                <w:sz w:val="20"/>
                <w:szCs w:val="20"/>
              </w:rPr>
              <w:t>4200</w:t>
            </w:r>
          </w:p>
          <w:p w:rsidR="004453CC" w:rsidRPr="004453CC" w:rsidRDefault="004453CC" w:rsidP="004453CC">
            <w:pPr>
              <w:spacing w:after="0" w:line="240" w:lineRule="auto"/>
              <w:rPr>
                <w:rFonts w:ascii="Calibri" w:eastAsia="Times New Roman" w:hAnsi="Calibri" w:cs="Calibri"/>
              </w:rPr>
            </w:pPr>
            <w:r w:rsidRPr="004453CC">
              <w:rPr>
                <w:rFonts w:ascii="Arial" w:eastAsia="Times New Roman" w:hAnsi="Arial" w:cs="Arial"/>
                <w:sz w:val="20"/>
                <w:szCs w:val="20"/>
              </w:rPr>
              <w:t>8400</w:t>
            </w:r>
          </w:p>
          <w:p w:rsidR="004453CC" w:rsidRPr="004453CC" w:rsidRDefault="004453CC" w:rsidP="004453CC">
            <w:pPr>
              <w:spacing w:after="0" w:line="240" w:lineRule="auto"/>
              <w:rPr>
                <w:rFonts w:ascii="Calibri" w:eastAsia="Times New Roman" w:hAnsi="Calibri" w:cs="Calibri"/>
              </w:rPr>
            </w:pPr>
            <w:r w:rsidRPr="004453CC">
              <w:rPr>
                <w:rFonts w:ascii="Arial" w:eastAsia="Times New Roman" w:hAnsi="Arial" w:cs="Arial"/>
                <w:sz w:val="20"/>
                <w:szCs w:val="20"/>
              </w:rPr>
              <w:t>14000</w:t>
            </w:r>
          </w:p>
          <w:p w:rsidR="004453CC" w:rsidRPr="004453CC" w:rsidRDefault="004453CC" w:rsidP="004453CC">
            <w:pPr>
              <w:spacing w:after="0" w:line="240" w:lineRule="auto"/>
              <w:rPr>
                <w:rFonts w:ascii="Calibri" w:eastAsia="Times New Roman" w:hAnsi="Calibri" w:cs="Calibri"/>
              </w:rPr>
            </w:pPr>
            <w:r w:rsidRPr="004453CC">
              <w:rPr>
                <w:rFonts w:ascii="Arial" w:eastAsia="Times New Roman" w:hAnsi="Arial" w:cs="Arial"/>
                <w:sz w:val="20"/>
                <w:szCs w:val="20"/>
              </w:rPr>
              <w:t>28000</w:t>
            </w:r>
          </w:p>
          <w:p w:rsidR="004453CC" w:rsidRPr="004453CC" w:rsidRDefault="004453CC" w:rsidP="004453CC">
            <w:pPr>
              <w:spacing w:after="0" w:line="240" w:lineRule="auto"/>
              <w:rPr>
                <w:rFonts w:ascii="Calibri" w:eastAsia="Times New Roman" w:hAnsi="Calibri" w:cs="Calibri"/>
              </w:rPr>
            </w:pPr>
            <w:r w:rsidRPr="004453CC">
              <w:rPr>
                <w:rFonts w:ascii="Arial" w:eastAsia="Times New Roman" w:hAnsi="Arial" w:cs="Arial"/>
                <w:sz w:val="20"/>
                <w:szCs w:val="20"/>
              </w:rPr>
              <w:t>42000</w:t>
            </w:r>
          </w:p>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70000</w:t>
            </w:r>
          </w:p>
        </w:tc>
      </w:tr>
    </w:tbl>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 xml:space="preserve">Companies which have a paid up capital of more than </w:t>
      </w:r>
      <w:proofErr w:type="spellStart"/>
      <w:r w:rsidRPr="004453CC">
        <w:rPr>
          <w:rFonts w:ascii="Arial" w:eastAsia="Times New Roman" w:hAnsi="Arial" w:cs="Arial"/>
          <w:color w:val="000000"/>
          <w:sz w:val="20"/>
          <w:szCs w:val="20"/>
        </w:rPr>
        <w:t>Rs</w:t>
      </w:r>
      <w:proofErr w:type="spellEnd"/>
      <w:r w:rsidRPr="004453CC">
        <w:rPr>
          <w:rFonts w:ascii="Arial" w:eastAsia="Times New Roman" w:hAnsi="Arial" w:cs="Arial"/>
          <w:color w:val="000000"/>
          <w:sz w:val="20"/>
          <w:szCs w:val="20"/>
        </w:rPr>
        <w:t xml:space="preserve">. 50 </w:t>
      </w:r>
      <w:proofErr w:type="spellStart"/>
      <w:r w:rsidRPr="004453CC">
        <w:rPr>
          <w:rFonts w:ascii="Arial" w:eastAsia="Times New Roman" w:hAnsi="Arial" w:cs="Arial"/>
          <w:color w:val="000000"/>
          <w:sz w:val="20"/>
          <w:szCs w:val="20"/>
        </w:rPr>
        <w:t>crores</w:t>
      </w:r>
      <w:proofErr w:type="spellEnd"/>
      <w:r w:rsidRPr="004453CC">
        <w:rPr>
          <w:rFonts w:ascii="Arial" w:eastAsia="Times New Roman" w:hAnsi="Arial" w:cs="Arial"/>
          <w:color w:val="000000"/>
          <w:sz w:val="20"/>
          <w:szCs w:val="20"/>
        </w:rPr>
        <w:t xml:space="preserve"> will pay additional listing fees of </w:t>
      </w:r>
      <w:proofErr w:type="spellStart"/>
      <w:r w:rsidRPr="004453CC">
        <w:rPr>
          <w:rFonts w:ascii="Arial" w:eastAsia="Times New Roman" w:hAnsi="Arial" w:cs="Arial"/>
          <w:color w:val="000000"/>
          <w:sz w:val="20"/>
          <w:szCs w:val="20"/>
        </w:rPr>
        <w:t>Rs</w:t>
      </w:r>
      <w:proofErr w:type="spellEnd"/>
      <w:r w:rsidRPr="004453CC">
        <w:rPr>
          <w:rFonts w:ascii="Arial" w:eastAsia="Times New Roman" w:hAnsi="Arial" w:cs="Arial"/>
          <w:color w:val="000000"/>
          <w:sz w:val="20"/>
          <w:szCs w:val="20"/>
        </w:rPr>
        <w:t xml:space="preserve">. 1400 for every increase of </w:t>
      </w:r>
      <w:proofErr w:type="spellStart"/>
      <w:r w:rsidRPr="004453CC">
        <w:rPr>
          <w:rFonts w:ascii="Arial" w:eastAsia="Times New Roman" w:hAnsi="Arial" w:cs="Arial"/>
          <w:color w:val="000000"/>
          <w:sz w:val="20"/>
          <w:szCs w:val="20"/>
        </w:rPr>
        <w:t>Rs</w:t>
      </w:r>
      <w:proofErr w:type="spellEnd"/>
      <w:r w:rsidRPr="004453CC">
        <w:rPr>
          <w:rFonts w:ascii="Arial" w:eastAsia="Times New Roman" w:hAnsi="Arial" w:cs="Arial"/>
          <w:color w:val="000000"/>
          <w:sz w:val="20"/>
          <w:szCs w:val="20"/>
        </w:rPr>
        <w:t xml:space="preserve">. 5 </w:t>
      </w:r>
      <w:proofErr w:type="spellStart"/>
      <w:r w:rsidRPr="004453CC">
        <w:rPr>
          <w:rFonts w:ascii="Arial" w:eastAsia="Times New Roman" w:hAnsi="Arial" w:cs="Arial"/>
          <w:color w:val="000000"/>
          <w:sz w:val="20"/>
          <w:szCs w:val="20"/>
        </w:rPr>
        <w:t>crores</w:t>
      </w:r>
      <w:proofErr w:type="spellEnd"/>
      <w:r w:rsidRPr="004453CC">
        <w:rPr>
          <w:rFonts w:ascii="Arial" w:eastAsia="Times New Roman" w:hAnsi="Arial" w:cs="Arial"/>
          <w:color w:val="000000"/>
          <w:sz w:val="20"/>
          <w:szCs w:val="20"/>
        </w:rPr>
        <w:t xml:space="preserve"> or part thereof in the paid up share/debenture capital. In case of annual listing fee, they will be reduced by 50% for the companies which are non - regional for the exchange.</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 xml:space="preserve">Please draw your </w:t>
      </w:r>
      <w:proofErr w:type="spellStart"/>
      <w:r w:rsidRPr="004453CC">
        <w:rPr>
          <w:rFonts w:ascii="Arial" w:eastAsia="Times New Roman" w:hAnsi="Arial" w:cs="Arial"/>
          <w:color w:val="000000"/>
          <w:sz w:val="20"/>
          <w:szCs w:val="20"/>
        </w:rPr>
        <w:t>Cheques</w:t>
      </w:r>
      <w:proofErr w:type="spellEnd"/>
      <w:r w:rsidRPr="004453CC">
        <w:rPr>
          <w:rFonts w:ascii="Arial" w:eastAsia="Times New Roman" w:hAnsi="Arial" w:cs="Arial"/>
          <w:color w:val="000000"/>
          <w:sz w:val="20"/>
          <w:szCs w:val="20"/>
        </w:rPr>
        <w:t xml:space="preserve">/Demand Drafts </w:t>
      </w:r>
      <w:proofErr w:type="spellStart"/>
      <w:r w:rsidRPr="004453CC">
        <w:rPr>
          <w:rFonts w:ascii="Arial" w:eastAsia="Times New Roman" w:hAnsi="Arial" w:cs="Arial"/>
          <w:color w:val="000000"/>
          <w:sz w:val="20"/>
          <w:szCs w:val="20"/>
        </w:rPr>
        <w:t>favouring</w:t>
      </w:r>
      <w:proofErr w:type="spellEnd"/>
      <w:r w:rsidRPr="004453CC">
        <w:rPr>
          <w:rFonts w:ascii="Arial" w:eastAsia="Times New Roman" w:hAnsi="Arial" w:cs="Arial"/>
          <w:color w:val="000000"/>
          <w:sz w:val="20"/>
          <w:szCs w:val="20"/>
        </w:rPr>
        <w:t xml:space="preserve"> National Stock Exchange of India Limited payable at Mumbai.</w:t>
      </w:r>
    </w:p>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Schedule IV</w:t>
      </w:r>
    </w:p>
    <w:tbl>
      <w:tblPr>
        <w:tblW w:w="0" w:type="auto"/>
        <w:tblCellMar>
          <w:left w:w="0" w:type="dxa"/>
          <w:right w:w="0" w:type="dxa"/>
        </w:tblCellMar>
        <w:tblLook w:val="04A0" w:firstRow="1" w:lastRow="0" w:firstColumn="1" w:lastColumn="0" w:noHBand="0" w:noVBand="1"/>
      </w:tblPr>
      <w:tblGrid>
        <w:gridCol w:w="558"/>
        <w:gridCol w:w="4230"/>
        <w:gridCol w:w="2394"/>
        <w:gridCol w:w="2394"/>
      </w:tblGrid>
      <w:tr w:rsidR="004453CC" w:rsidRPr="004453CC" w:rsidTr="004453CC">
        <w:trPr>
          <w:trHeight w:val="395"/>
        </w:trPr>
        <w:tc>
          <w:tcPr>
            <w:tcW w:w="5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before="120" w:line="240" w:lineRule="auto"/>
              <w:rPr>
                <w:rFonts w:ascii="Calibri" w:eastAsia="Times New Roman" w:hAnsi="Calibri" w:cs="Calibri"/>
              </w:rPr>
            </w:pPr>
            <w:r w:rsidRPr="004453CC">
              <w:rPr>
                <w:rFonts w:ascii="Arial" w:eastAsia="Times New Roman" w:hAnsi="Arial" w:cs="Arial"/>
                <w:b/>
                <w:bCs/>
                <w:sz w:val="20"/>
                <w:szCs w:val="20"/>
              </w:rPr>
              <w:t> </w:t>
            </w:r>
          </w:p>
        </w:tc>
        <w:tc>
          <w:tcPr>
            <w:tcW w:w="901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before="120" w:line="240" w:lineRule="auto"/>
              <w:rPr>
                <w:rFonts w:ascii="Calibri" w:eastAsia="Times New Roman" w:hAnsi="Calibri" w:cs="Calibri"/>
              </w:rPr>
            </w:pPr>
            <w:r w:rsidRPr="004453CC">
              <w:rPr>
                <w:rFonts w:ascii="Arial" w:eastAsia="Times New Roman" w:hAnsi="Arial" w:cs="Arial"/>
                <w:b/>
                <w:bCs/>
                <w:sz w:val="20"/>
                <w:szCs w:val="20"/>
              </w:rPr>
              <w:t>Format for Electronic Upload - Corporate Actions</w:t>
            </w:r>
          </w:p>
        </w:tc>
      </w:tr>
      <w:tr w:rsidR="004453CC" w:rsidRPr="004453CC" w:rsidTr="004453CC">
        <w:trPr>
          <w:trHeight w:val="3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Fields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Format</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Checks</w:t>
            </w:r>
          </w:p>
        </w:tc>
      </w:tr>
      <w:tr w:rsidR="004453CC" w:rsidRPr="004453CC" w:rsidTr="004453CC">
        <w:trPr>
          <w:trHeight w:val="3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Symbol</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(10)</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As allotted by the Exchange</w:t>
            </w: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Series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(2)</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xml:space="preserve">As allotted by the Exchange </w:t>
            </w:r>
            <w:proofErr w:type="spellStart"/>
            <w:r w:rsidRPr="004453CC">
              <w:rPr>
                <w:rFonts w:ascii="Arial" w:eastAsia="Times New Roman" w:hAnsi="Arial" w:cs="Arial"/>
                <w:sz w:val="20"/>
                <w:szCs w:val="20"/>
              </w:rPr>
              <w:t>eg</w:t>
            </w:r>
            <w:proofErr w:type="spellEnd"/>
            <w:r w:rsidRPr="004453CC">
              <w:rPr>
                <w:rFonts w:ascii="Arial" w:eastAsia="Times New Roman" w:hAnsi="Arial" w:cs="Arial"/>
                <w:sz w:val="20"/>
                <w:szCs w:val="20"/>
              </w:rPr>
              <w:t>. EQ, N1, N2, P1, P2, etc.</w:t>
            </w:r>
          </w:p>
        </w:tc>
      </w:tr>
      <w:tr w:rsidR="004453CC" w:rsidRPr="004453CC" w:rsidTr="004453CC">
        <w:trPr>
          <w:trHeight w:val="5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Book Closure / Record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(1)</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To indicate Book Closure (B) / Record Date (R)</w:t>
            </w: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BC Start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23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BC End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Record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Purpose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(25)</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The detailed purpose can be given by way of notes</w:t>
            </w:r>
          </w:p>
        </w:tc>
      </w:tr>
      <w:tr w:rsidR="004453CC" w:rsidRPr="004453CC" w:rsidTr="004453CC">
        <w:trPr>
          <w:trHeight w:val="61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Corporate Action Type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As given below</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The different types of CA are given below.</w:t>
            </w:r>
          </w:p>
        </w:tc>
      </w:tr>
      <w:tr w:rsidR="004453CC" w:rsidRPr="004453CC" w:rsidTr="004453CC">
        <w:trPr>
          <w:trHeight w:val="8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Corporate Action Type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As given below</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 case there are more than one type the 2nd row is used.</w:t>
            </w:r>
          </w:p>
        </w:tc>
      </w:tr>
      <w:tr w:rsidR="004453CC" w:rsidRPr="004453CC" w:rsidTr="004453CC">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Dividend (%)</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(N)</w:t>
            </w:r>
          </w:p>
        </w:tc>
        <w:tc>
          <w:tcPr>
            <w:tcW w:w="23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r>
      <w:tr w:rsidR="004453CC" w:rsidRPr="004453CC" w:rsidTr="004453CC">
        <w:trPr>
          <w:trHeight w:val="2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Dividend Type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Interim / Final</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Dividend for Financial Year From</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Dividend for Financial Year To</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4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Meetings (AGM)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62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Issue of Securities - Bonus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(N) Ratio of Bonus Issue, if the CA is for Bonus</w:t>
            </w:r>
          </w:p>
        </w:tc>
      </w:tr>
      <w:tr w:rsidR="004453CC" w:rsidRPr="004453CC" w:rsidTr="004453CC">
        <w:trPr>
          <w:trHeight w:val="11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Issue of Securities - Rights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EQ</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If the Rights issue is of Equity shares, the information is required to be entered</w:t>
            </w:r>
          </w:p>
        </w:tc>
      </w:tr>
      <w:tr w:rsidR="004453CC" w:rsidRPr="004453CC" w:rsidTr="004453CC">
        <w:trPr>
          <w:trHeight w:val="5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Issue of Securities - Rights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X(N) Ratio of Rights Issue, if the CA is for Rights</w:t>
            </w:r>
          </w:p>
        </w:tc>
      </w:tr>
      <w:tr w:rsidR="004453CC" w:rsidRPr="004453CC" w:rsidTr="004453CC">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Issue of Securities - Rights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Issue Price including premium</w:t>
            </w:r>
          </w:p>
        </w:tc>
      </w:tr>
      <w:tr w:rsidR="004453CC" w:rsidRPr="004453CC" w:rsidTr="004453CC">
        <w:trPr>
          <w:trHeight w:val="3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Interest (%)</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(N)</w:t>
            </w:r>
          </w:p>
        </w:tc>
        <w:tc>
          <w:tcPr>
            <w:tcW w:w="23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Interest From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Interest To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Merger / Hive Off</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X(N) Ratio of Merger / Amalgamation</w:t>
            </w:r>
          </w:p>
        </w:tc>
      </w:tr>
      <w:tr w:rsidR="004453CC" w:rsidRPr="004453CC" w:rsidTr="004453CC">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Split / Sub Division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X(N) Ratio of Split / Sub Division</w:t>
            </w:r>
          </w:p>
        </w:tc>
      </w:tr>
      <w:tr w:rsidR="004453CC" w:rsidRPr="004453CC" w:rsidTr="004453CC">
        <w:trPr>
          <w:trHeight w:val="11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Corporate Action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Bonus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Any of the following Corporation Action Types have to be selected</w:t>
            </w:r>
          </w:p>
        </w:tc>
      </w:tr>
      <w:tr w:rsidR="004453CC" w:rsidRPr="004453CC" w:rsidTr="004453CC">
        <w:trPr>
          <w:trHeight w:val="3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423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Composite Action</w:t>
            </w:r>
          </w:p>
        </w:tc>
        <w:tc>
          <w:tcPr>
            <w:tcW w:w="239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Consolidation</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Calls on Securities</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Conversion</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Dividend</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Interest</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Merger / Hive Off</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Meetings</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Others</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Preferential Offer</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Reduction in Capital</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Redemption</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Rights</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r w:rsidR="004453CC" w:rsidRPr="004453CC" w:rsidTr="004453CC">
        <w:trPr>
          <w:trHeight w:val="3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2394" w:type="dxa"/>
            <w:tcBorders>
              <w:top w:val="nil"/>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Split / Sub Division</w:t>
            </w:r>
          </w:p>
        </w:tc>
        <w:tc>
          <w:tcPr>
            <w:tcW w:w="0" w:type="auto"/>
            <w:vMerge/>
            <w:tcBorders>
              <w:top w:val="nil"/>
              <w:left w:val="nil"/>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r>
    </w:tbl>
    <w:p w:rsidR="004453CC" w:rsidRPr="004453CC" w:rsidRDefault="004453CC" w:rsidP="004453CC">
      <w:pPr>
        <w:spacing w:before="120" w:line="240" w:lineRule="auto"/>
        <w:jc w:val="center"/>
        <w:rPr>
          <w:rFonts w:ascii="Calibri" w:eastAsia="Times New Roman" w:hAnsi="Calibri" w:cs="Calibri"/>
          <w:color w:val="000000"/>
        </w:rPr>
      </w:pPr>
      <w:r w:rsidRPr="004453CC">
        <w:rPr>
          <w:rFonts w:ascii="Arial" w:eastAsia="Times New Roman" w:hAnsi="Arial" w:cs="Arial"/>
          <w:b/>
          <w:bCs/>
          <w:color w:val="000000"/>
          <w:sz w:val="20"/>
          <w:szCs w:val="20"/>
        </w:rPr>
        <w:t>Schedule V</w:t>
      </w:r>
    </w:p>
    <w:tbl>
      <w:tblPr>
        <w:tblW w:w="0" w:type="auto"/>
        <w:tblCellMar>
          <w:left w:w="0" w:type="dxa"/>
          <w:right w:w="0" w:type="dxa"/>
        </w:tblCellMar>
        <w:tblLook w:val="04A0" w:firstRow="1" w:lastRow="0" w:firstColumn="1" w:lastColumn="0" w:noHBand="0" w:noVBand="1"/>
      </w:tblPr>
      <w:tblGrid>
        <w:gridCol w:w="558"/>
        <w:gridCol w:w="3006"/>
        <w:gridCol w:w="2394"/>
        <w:gridCol w:w="3618"/>
      </w:tblGrid>
      <w:tr w:rsidR="004453CC" w:rsidRPr="004453CC" w:rsidTr="004453CC">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before="120" w:line="240" w:lineRule="auto"/>
              <w:rPr>
                <w:rFonts w:ascii="Calibri" w:eastAsia="Times New Roman" w:hAnsi="Calibri" w:cs="Calibri"/>
              </w:rPr>
            </w:pPr>
            <w:r w:rsidRPr="004453CC">
              <w:rPr>
                <w:rFonts w:ascii="Arial" w:eastAsia="Times New Roman" w:hAnsi="Arial" w:cs="Arial"/>
                <w:b/>
                <w:bCs/>
                <w:sz w:val="20"/>
                <w:szCs w:val="20"/>
              </w:rPr>
              <w:t> </w:t>
            </w:r>
          </w:p>
        </w:tc>
        <w:tc>
          <w:tcPr>
            <w:tcW w:w="901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53CC" w:rsidRPr="004453CC" w:rsidRDefault="004453CC" w:rsidP="004453CC">
            <w:pPr>
              <w:spacing w:before="120" w:line="240" w:lineRule="auto"/>
              <w:rPr>
                <w:rFonts w:ascii="Calibri" w:eastAsia="Times New Roman" w:hAnsi="Calibri" w:cs="Calibri"/>
              </w:rPr>
            </w:pPr>
            <w:r w:rsidRPr="004453CC">
              <w:rPr>
                <w:rFonts w:ascii="Arial" w:eastAsia="Times New Roman" w:hAnsi="Arial" w:cs="Arial"/>
                <w:b/>
                <w:bCs/>
                <w:sz w:val="20"/>
                <w:szCs w:val="20"/>
              </w:rPr>
              <w:t>Format for Electronic Upload - Financial Results</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Fields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Format</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b/>
                <w:bCs/>
                <w:sz w:val="20"/>
                <w:szCs w:val="20"/>
              </w:rPr>
              <w:t>Checks</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Symbol</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(10)</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As allotted by the Exchange</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From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To Date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DD-MMM-YYYY</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Result Type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(1)</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To indicate Audited, Unaudited or Project status</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Period Type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(2)</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xml:space="preserve">To indicate whether the results are AN(Annual), Q1(1st </w:t>
            </w:r>
            <w:proofErr w:type="spellStart"/>
            <w:r w:rsidRPr="004453CC">
              <w:rPr>
                <w:rFonts w:ascii="Arial" w:eastAsia="Times New Roman" w:hAnsi="Arial" w:cs="Arial"/>
                <w:sz w:val="20"/>
                <w:szCs w:val="20"/>
              </w:rPr>
              <w:t>Qtr</w:t>
            </w:r>
            <w:proofErr w:type="spellEnd"/>
            <w:r w:rsidRPr="004453CC">
              <w:rPr>
                <w:rFonts w:ascii="Arial" w:eastAsia="Times New Roman" w:hAnsi="Arial" w:cs="Arial"/>
                <w:sz w:val="20"/>
                <w:szCs w:val="20"/>
              </w:rPr>
              <w:t xml:space="preserve">), Q2 (2nd </w:t>
            </w:r>
            <w:proofErr w:type="spellStart"/>
            <w:r w:rsidRPr="004453CC">
              <w:rPr>
                <w:rFonts w:ascii="Arial" w:eastAsia="Times New Roman" w:hAnsi="Arial" w:cs="Arial"/>
                <w:sz w:val="20"/>
                <w:szCs w:val="20"/>
              </w:rPr>
              <w:t>Qtr</w:t>
            </w:r>
            <w:proofErr w:type="spellEnd"/>
            <w:r w:rsidRPr="004453CC">
              <w:rPr>
                <w:rFonts w:ascii="Arial" w:eastAsia="Times New Roman" w:hAnsi="Arial" w:cs="Arial"/>
                <w:sz w:val="20"/>
                <w:szCs w:val="20"/>
              </w:rPr>
              <w:t xml:space="preserve">), Q3 (3rd </w:t>
            </w:r>
            <w:proofErr w:type="spellStart"/>
            <w:r w:rsidRPr="004453CC">
              <w:rPr>
                <w:rFonts w:ascii="Arial" w:eastAsia="Times New Roman" w:hAnsi="Arial" w:cs="Arial"/>
                <w:sz w:val="20"/>
                <w:szCs w:val="20"/>
              </w:rPr>
              <w:t>Qtr</w:t>
            </w:r>
            <w:proofErr w:type="spellEnd"/>
            <w:r w:rsidRPr="004453CC">
              <w:rPr>
                <w:rFonts w:ascii="Arial" w:eastAsia="Times New Roman" w:hAnsi="Arial" w:cs="Arial"/>
                <w:sz w:val="20"/>
                <w:szCs w:val="20"/>
              </w:rPr>
              <w:t xml:space="preserve">), Q4 (4th </w:t>
            </w:r>
            <w:proofErr w:type="spellStart"/>
            <w:r w:rsidRPr="004453CC">
              <w:rPr>
                <w:rFonts w:ascii="Arial" w:eastAsia="Times New Roman" w:hAnsi="Arial" w:cs="Arial"/>
                <w:sz w:val="20"/>
                <w:szCs w:val="20"/>
              </w:rPr>
              <w:t>Qtr</w:t>
            </w:r>
            <w:proofErr w:type="spellEnd"/>
            <w:r w:rsidRPr="004453CC">
              <w:rPr>
                <w:rFonts w:ascii="Arial" w:eastAsia="Times New Roman" w:hAnsi="Arial" w:cs="Arial"/>
                <w:sz w:val="20"/>
                <w:szCs w:val="20"/>
              </w:rPr>
              <w:t>), OT (Others), H1 (1st Half), H2 (2nd Half)</w:t>
            </w:r>
          </w:p>
        </w:tc>
      </w:tr>
      <w:tr w:rsidR="004453CC" w:rsidRPr="004453CC" w:rsidTr="004453C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53CC" w:rsidRPr="004453CC" w:rsidRDefault="004453CC" w:rsidP="004453CC">
            <w:pPr>
              <w:spacing w:after="0" w:line="240" w:lineRule="auto"/>
              <w:rPr>
                <w:rFonts w:ascii="Calibri" w:eastAsia="Times New Roman" w:hAnsi="Calibri" w:cs="Calibri"/>
              </w:rPr>
            </w:pP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xml:space="preserve">Cumulative / </w:t>
            </w:r>
            <w:proofErr w:type="spellStart"/>
            <w:r w:rsidRPr="004453CC">
              <w:rPr>
                <w:rFonts w:ascii="Arial" w:eastAsia="Times New Roman" w:hAnsi="Arial" w:cs="Arial"/>
                <w:sz w:val="20"/>
                <w:szCs w:val="20"/>
              </w:rPr>
              <w:t>Non Cumulative</w:t>
            </w:r>
            <w:proofErr w:type="spellEnd"/>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X (1) (C or N)</w:t>
            </w:r>
          </w:p>
        </w:tc>
        <w:tc>
          <w:tcPr>
            <w:tcW w:w="36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xml:space="preserve">To indicate whether the results are cumulative / </w:t>
            </w:r>
            <w:proofErr w:type="spellStart"/>
            <w:r w:rsidRPr="004453CC">
              <w:rPr>
                <w:rFonts w:ascii="Arial" w:eastAsia="Times New Roman" w:hAnsi="Arial" w:cs="Arial"/>
                <w:sz w:val="20"/>
                <w:szCs w:val="20"/>
              </w:rPr>
              <w:t>non cumulative</w:t>
            </w:r>
            <w:proofErr w:type="spellEnd"/>
            <w:r w:rsidRPr="004453CC">
              <w:rPr>
                <w:rFonts w:ascii="Arial" w:eastAsia="Times New Roman" w:hAnsi="Arial" w:cs="Arial"/>
                <w:sz w:val="20"/>
                <w:szCs w:val="20"/>
              </w:rPr>
              <w:t xml:space="preserve"> i.e. Q3 - N will be results for 3 months and not for 9 months</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1.</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Net Sales / Income from Operations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2.</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Other Income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3.</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Total Expenditure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a) Increase / decrease in stock in trade</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b) Consumption of raw materials</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c) Staff cost</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 Other expenditure(Any other item exceeding 10% of the total expenditure to be shown separately)</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4.</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Interest</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5.</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Depreciation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6.</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Profit (+)/ Loss(-) before tax (1+2-3-4-5)</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7.</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Provision for Taxation</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8.</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Net Profit (+)/ Loss (-) (6-7)</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9.</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Paid-up equity share capital</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10.</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Reserves excluding revaluation reserves (as per balance sheet) of previous accounting year to be given in column (5)</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proofErr w:type="spellStart"/>
            <w:r w:rsidRPr="004453CC">
              <w:rPr>
                <w:rFonts w:ascii="Arial" w:eastAsia="Times New Roman" w:hAnsi="Arial" w:cs="Arial"/>
                <w:sz w:val="20"/>
                <w:szCs w:val="20"/>
              </w:rPr>
              <w:t>Rs</w:t>
            </w:r>
            <w:proofErr w:type="spellEnd"/>
            <w:r w:rsidRPr="004453CC">
              <w:rPr>
                <w:rFonts w:ascii="Arial" w:eastAsia="Times New Roman" w:hAnsi="Arial" w:cs="Arial"/>
                <w:sz w:val="20"/>
                <w:szCs w:val="20"/>
              </w:rPr>
              <w:t>. in lakhs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r w:rsidR="004453CC" w:rsidRPr="004453CC" w:rsidTr="004453CC">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11.</w:t>
            </w:r>
          </w:p>
        </w:tc>
        <w:tc>
          <w:tcPr>
            <w:tcW w:w="30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 xml:space="preserve">Basic and diluted EPS for the period, for the year to date and for the previous year (not to be </w:t>
            </w:r>
            <w:proofErr w:type="spellStart"/>
            <w:r w:rsidRPr="004453CC">
              <w:rPr>
                <w:rFonts w:ascii="Arial" w:eastAsia="Times New Roman" w:hAnsi="Arial" w:cs="Arial"/>
                <w:sz w:val="20"/>
                <w:szCs w:val="20"/>
              </w:rPr>
              <w:t>annualised</w:t>
            </w:r>
            <w:proofErr w:type="spellEnd"/>
            <w:r w:rsidRPr="004453CC">
              <w:rPr>
                <w:rFonts w:ascii="Arial" w:eastAsia="Times New Roman" w:hAnsi="Arial" w:cs="Arial"/>
                <w:sz w:val="20"/>
                <w:szCs w:val="20"/>
              </w:rPr>
              <w:t>)</w:t>
            </w:r>
          </w:p>
        </w:tc>
        <w:tc>
          <w:tcPr>
            <w:tcW w:w="239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Arial" w:eastAsia="Times New Roman" w:hAnsi="Arial" w:cs="Arial"/>
                <w:sz w:val="20"/>
                <w:szCs w:val="20"/>
              </w:rPr>
              <w:t>In Rupees</w:t>
            </w:r>
          </w:p>
        </w:tc>
        <w:tc>
          <w:tcPr>
            <w:tcW w:w="2892" w:type="dxa"/>
            <w:tcBorders>
              <w:top w:val="nil"/>
              <w:left w:val="nil"/>
              <w:bottom w:val="nil"/>
              <w:right w:val="nil"/>
            </w:tcBorders>
            <w:vAlign w:val="center"/>
            <w:hideMark/>
          </w:tcPr>
          <w:p w:rsidR="004453CC" w:rsidRPr="004453CC" w:rsidRDefault="004453CC" w:rsidP="004453CC">
            <w:pPr>
              <w:spacing w:after="0" w:line="240" w:lineRule="auto"/>
              <w:jc w:val="both"/>
              <w:rPr>
                <w:rFonts w:ascii="Calibri" w:eastAsia="Times New Roman" w:hAnsi="Calibri" w:cs="Calibri"/>
              </w:rPr>
            </w:pPr>
            <w:r w:rsidRPr="004453CC">
              <w:rPr>
                <w:rFonts w:ascii="Calibri" w:eastAsia="Times New Roman" w:hAnsi="Calibri" w:cs="Calibri"/>
              </w:rPr>
              <w:t> </w:t>
            </w:r>
          </w:p>
        </w:tc>
      </w:tr>
    </w:tbl>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lastRenderedPageBreak/>
        <w:t>Note:</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Please adhere to the above format as the same will be directly uploaded</w:t>
      </w:r>
    </w:p>
    <w:p w:rsidR="004453CC" w:rsidRPr="004453CC" w:rsidRDefault="004453CC" w:rsidP="004453CC">
      <w:pPr>
        <w:spacing w:before="120" w:line="240" w:lineRule="auto"/>
        <w:jc w:val="both"/>
        <w:rPr>
          <w:rFonts w:ascii="Calibri" w:eastAsia="Times New Roman" w:hAnsi="Calibri" w:cs="Calibri"/>
          <w:color w:val="000000"/>
        </w:rPr>
      </w:pPr>
      <w:r w:rsidRPr="004453CC">
        <w:rPr>
          <w:rFonts w:ascii="Arial" w:eastAsia="Times New Roman" w:hAnsi="Arial" w:cs="Arial"/>
          <w:color w:val="000000"/>
          <w:sz w:val="20"/>
          <w:szCs w:val="20"/>
        </w:rPr>
        <w:t xml:space="preserve">Please provide the results on a quarterly basis (except the Annual) </w:t>
      </w:r>
      <w:proofErr w:type="spellStart"/>
      <w:r w:rsidRPr="004453CC">
        <w:rPr>
          <w:rFonts w:ascii="Arial" w:eastAsia="Times New Roman" w:hAnsi="Arial" w:cs="Arial"/>
          <w:color w:val="000000"/>
          <w:sz w:val="20"/>
          <w:szCs w:val="20"/>
        </w:rPr>
        <w:t>Eg</w:t>
      </w:r>
      <w:proofErr w:type="spellEnd"/>
      <w:r w:rsidRPr="004453CC">
        <w:rPr>
          <w:rFonts w:ascii="Arial" w:eastAsia="Times New Roman" w:hAnsi="Arial" w:cs="Arial"/>
          <w:color w:val="000000"/>
          <w:sz w:val="20"/>
          <w:szCs w:val="20"/>
        </w:rPr>
        <w:t>. For the 3rd quarter give the results for the 3rd quarter only as against the entire 9 months.</w:t>
      </w:r>
    </w:p>
    <w:sectPr w:rsidR="004453CC" w:rsidRPr="0044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CC"/>
    <w:rsid w:val="004453CC"/>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2530</Words>
  <Characters>14423</Characters>
  <Application>Microsoft Office Word</Application>
  <DocSecurity>0</DocSecurity>
  <Lines>120</Lines>
  <Paragraphs>33</Paragraphs>
  <ScaleCrop>false</ScaleCrop>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2019-07-22T06:55:00Z</dcterms:created>
  <dcterms:modified xsi:type="dcterms:W3CDTF">2019-07-22T06:55:00Z</dcterms:modified>
</cp:coreProperties>
</file>