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D2" w:rsidRPr="00692CD2" w:rsidRDefault="00692CD2" w:rsidP="00692CD2">
      <w:pPr>
        <w:spacing w:before="100" w:line="240" w:lineRule="auto"/>
        <w:jc w:val="both"/>
        <w:rPr>
          <w:rFonts w:ascii="Calibri" w:eastAsia="Times New Roman" w:hAnsi="Calibri" w:cs="Calibri"/>
          <w:color w:val="000000"/>
        </w:rPr>
      </w:pPr>
      <w:bookmarkStart w:id="0" w:name="_GoBack"/>
      <w:bookmarkEnd w:id="0"/>
      <w:r w:rsidRPr="00692CD2">
        <w:rPr>
          <w:rFonts w:ascii="Arial" w:eastAsia="Times New Roman" w:hAnsi="Arial" w:cs="Arial"/>
          <w:b/>
          <w:bCs/>
          <w:color w:val="000000"/>
          <w:sz w:val="20"/>
          <w:szCs w:val="20"/>
        </w:rPr>
        <w:t>Bangladesh</w:t>
      </w:r>
    </w:p>
    <w:p w:rsidR="00692CD2" w:rsidRPr="00692CD2" w:rsidRDefault="00692CD2" w:rsidP="00692CD2">
      <w:pPr>
        <w:spacing w:before="100" w:line="240" w:lineRule="auto"/>
        <w:jc w:val="center"/>
        <w:rPr>
          <w:rFonts w:ascii="Calibri" w:eastAsia="Times New Roman" w:hAnsi="Calibri" w:cs="Calibri"/>
          <w:color w:val="000000"/>
        </w:rPr>
      </w:pPr>
      <w:r w:rsidRPr="00692CD2">
        <w:rPr>
          <w:rFonts w:ascii="Arial" w:eastAsia="Times New Roman" w:hAnsi="Arial" w:cs="Arial"/>
          <w:b/>
          <w:bCs/>
          <w:color w:val="000000"/>
          <w:sz w:val="20"/>
          <w:szCs w:val="20"/>
        </w:rPr>
        <w:t>Double Taxation Avoidance Agreement</w:t>
      </w:r>
    </w:p>
    <w:p w:rsidR="00692CD2" w:rsidRPr="00692CD2" w:rsidRDefault="00692CD2" w:rsidP="00692CD2">
      <w:pPr>
        <w:spacing w:before="100" w:line="240" w:lineRule="auto"/>
        <w:jc w:val="center"/>
        <w:rPr>
          <w:rFonts w:ascii="Calibri" w:eastAsia="Times New Roman" w:hAnsi="Calibri" w:cs="Calibri"/>
          <w:color w:val="000000"/>
        </w:rPr>
      </w:pPr>
      <w:r w:rsidRPr="00692CD2">
        <w:rPr>
          <w:rFonts w:ascii="Arial" w:eastAsia="Times New Roman" w:hAnsi="Arial" w:cs="Arial"/>
          <w:b/>
          <w:bCs/>
          <w:color w:val="000000"/>
          <w:sz w:val="20"/>
          <w:szCs w:val="20"/>
        </w:rPr>
        <w:t>Bangladesh</w:t>
      </w:r>
    </w:p>
    <w:p w:rsidR="00692CD2" w:rsidRPr="00692CD2" w:rsidRDefault="00692CD2" w:rsidP="00692CD2">
      <w:pPr>
        <w:spacing w:before="100" w:line="240" w:lineRule="auto"/>
        <w:jc w:val="center"/>
        <w:rPr>
          <w:rFonts w:ascii="Calibri" w:eastAsia="Times New Roman" w:hAnsi="Calibri" w:cs="Calibri"/>
          <w:color w:val="000000"/>
        </w:rPr>
      </w:pPr>
      <w:r w:rsidRPr="00692CD2">
        <w:rPr>
          <w:rFonts w:ascii="Arial" w:eastAsia="Times New Roman" w:hAnsi="Arial" w:cs="Arial"/>
          <w:b/>
          <w:bCs/>
          <w:color w:val="000000"/>
          <w:sz w:val="20"/>
          <w:szCs w:val="20"/>
        </w:rPr>
        <w:t>Income-tax Act, 1961: Notification under section 90: Double taxation agreement between India and Bangladesh</w:t>
      </w:r>
    </w:p>
    <w:p w:rsidR="00692CD2" w:rsidRPr="00692CD2" w:rsidRDefault="00692CD2" w:rsidP="00692CD2">
      <w:pPr>
        <w:spacing w:before="100" w:line="240" w:lineRule="auto"/>
        <w:jc w:val="both"/>
        <w:rPr>
          <w:rFonts w:ascii="Calibri" w:eastAsia="Times New Roman" w:hAnsi="Calibri" w:cs="Calibri"/>
          <w:color w:val="000000"/>
        </w:rPr>
      </w:pPr>
      <w:proofErr w:type="gramStart"/>
      <w:r w:rsidRPr="00692CD2">
        <w:rPr>
          <w:rFonts w:ascii="Arial" w:eastAsia="Times New Roman" w:hAnsi="Arial" w:cs="Arial"/>
          <w:b/>
          <w:bCs/>
          <w:color w:val="000000"/>
          <w:sz w:val="20"/>
          <w:szCs w:val="20"/>
        </w:rPr>
        <w:t>Notification No.</w:t>
      </w:r>
      <w:proofErr w:type="gramEnd"/>
      <w:r w:rsidRPr="00692CD2">
        <w:rPr>
          <w:rFonts w:ascii="Arial" w:eastAsia="Times New Roman" w:hAnsi="Arial" w:cs="Arial"/>
          <w:b/>
          <w:bCs/>
          <w:color w:val="000000"/>
          <w:sz w:val="20"/>
          <w:szCs w:val="20"/>
        </w:rPr>
        <w:t xml:space="preserve"> G. S. R. 758(E), dtd. </w:t>
      </w:r>
      <w:proofErr w:type="gramStart"/>
      <w:r w:rsidRPr="00692CD2">
        <w:rPr>
          <w:rFonts w:ascii="Arial" w:eastAsia="Times New Roman" w:hAnsi="Arial" w:cs="Arial"/>
          <w:b/>
          <w:bCs/>
          <w:color w:val="000000"/>
          <w:sz w:val="20"/>
          <w:szCs w:val="20"/>
        </w:rPr>
        <w:t>8.09.1992.</w:t>
      </w:r>
      <w:proofErr w:type="gramEnd"/>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Whereas the annexed Convention between the Government of the Republic of India and the Government of the People's Republic of Bangladesh for the avoidance of double taxation and the prevention of fiscal evasion with respect to taxes on income has come into force on the 27th May, 1992, after the exchange of Instruments of Ratification as required by paragraph 1 of article 31 of the said Convention;</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ANNEXURE</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CONVENTION BETWEEN THE GOVERNMENT OF THE REPUBLIC OF INDIA AND THE GOVERNMENT OF THE PEOPLE'S REPUBLIC OF BANGLADESH FOR THE AVOIDANCE OF DOUBLE TAXATION AND THE PREVENTION OF FISCAL EVASION WITH RESPECT TO TAXES ON INCOME</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The Government of the Republic of India and the Government of the People's Republic of Bangladesh,</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Desiring to conclude a Convention for the avoidance of double taxation and the prevention of fiscal evasion with respect to taxes on income,</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Have agreed as follows:</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CHAPTER I</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SCOPE OF THE CONVENTION</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1</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PERSONAL SCOPE</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This Convention shall apply to persons who are residents of one or both of the Contracting States.</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2</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TAXES COVERED</w:t>
      </w:r>
    </w:p>
    <w:p w:rsidR="00692CD2" w:rsidRPr="00692CD2" w:rsidRDefault="00692CD2" w:rsidP="00692CD2">
      <w:pPr>
        <w:spacing w:before="100" w:line="240" w:lineRule="auto"/>
        <w:ind w:left="720" w:hanging="360"/>
        <w:jc w:val="both"/>
        <w:rPr>
          <w:rFonts w:ascii="Calibri" w:eastAsia="Times New Roman" w:hAnsi="Calibri" w:cs="Calibri"/>
          <w:color w:val="000000"/>
        </w:rPr>
      </w:pPr>
      <w:r w:rsidRPr="00692CD2">
        <w:rPr>
          <w:rFonts w:ascii="Arial" w:eastAsia="Times New Roman" w:hAnsi="Arial" w:cs="Arial"/>
          <w:color w:val="000000"/>
          <w:sz w:val="20"/>
          <w:szCs w:val="20"/>
        </w:rPr>
        <w:t>1.</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existing taxes to which this Convention shall apply are--</w:t>
      </w:r>
    </w:p>
    <w:p w:rsidR="00692CD2" w:rsidRPr="00692CD2" w:rsidRDefault="00692CD2" w:rsidP="00692CD2">
      <w:pPr>
        <w:spacing w:before="100" w:line="240" w:lineRule="auto"/>
        <w:ind w:left="108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a</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In the case of Bangladesh:</w:t>
      </w:r>
    </w:p>
    <w:p w:rsidR="00692CD2" w:rsidRPr="00692CD2" w:rsidRDefault="00692CD2" w:rsidP="00692CD2">
      <w:pPr>
        <w:spacing w:before="100" w:line="240" w:lineRule="auto"/>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the</w:t>
      </w:r>
      <w:proofErr w:type="gramEnd"/>
      <w:r w:rsidRPr="00692CD2">
        <w:rPr>
          <w:rFonts w:ascii="Arial" w:eastAsia="Times New Roman" w:hAnsi="Arial" w:cs="Arial"/>
          <w:color w:val="000000"/>
          <w:sz w:val="20"/>
          <w:szCs w:val="20"/>
        </w:rPr>
        <w:t xml:space="preserve"> income-tax,</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w:t>
      </w:r>
      <w:proofErr w:type="gramStart"/>
      <w:r w:rsidRPr="00692CD2">
        <w:rPr>
          <w:rFonts w:ascii="Arial" w:eastAsia="Times New Roman" w:hAnsi="Arial" w:cs="Arial"/>
          <w:color w:val="000000"/>
          <w:sz w:val="20"/>
          <w:szCs w:val="20"/>
        </w:rPr>
        <w:t>hereinafter</w:t>
      </w:r>
      <w:proofErr w:type="gramEnd"/>
      <w:r w:rsidRPr="00692CD2">
        <w:rPr>
          <w:rFonts w:ascii="Arial" w:eastAsia="Times New Roman" w:hAnsi="Arial" w:cs="Arial"/>
          <w:color w:val="000000"/>
          <w:sz w:val="20"/>
          <w:szCs w:val="20"/>
        </w:rPr>
        <w:t xml:space="preserve"> referred to as "Bangladesh tax");</w:t>
      </w:r>
    </w:p>
    <w:p w:rsidR="00692CD2" w:rsidRPr="00692CD2" w:rsidRDefault="00692CD2" w:rsidP="00692CD2">
      <w:pPr>
        <w:spacing w:before="100" w:line="240" w:lineRule="auto"/>
        <w:ind w:left="108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b</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In the case of India:</w:t>
      </w:r>
    </w:p>
    <w:p w:rsidR="00692CD2" w:rsidRPr="00692CD2" w:rsidRDefault="00692CD2" w:rsidP="00692CD2">
      <w:pPr>
        <w:spacing w:before="100" w:line="240" w:lineRule="auto"/>
        <w:ind w:left="1800" w:hanging="1800"/>
        <w:jc w:val="both"/>
        <w:rPr>
          <w:rFonts w:ascii="Calibri" w:eastAsia="Times New Roman" w:hAnsi="Calibri" w:cs="Calibri"/>
          <w:color w:val="000000"/>
        </w:rPr>
      </w:pPr>
      <w:r w:rsidRPr="00692CD2">
        <w:rPr>
          <w:rFonts w:ascii="Times New Roman" w:eastAsia="Times New Roman" w:hAnsi="Times New Roman" w:cs="Times New Roman"/>
          <w:color w:val="000000"/>
          <w:sz w:val="14"/>
          <w:szCs w:val="14"/>
        </w:rPr>
        <w:t>                      </w:t>
      </w:r>
      <w:proofErr w:type="gramStart"/>
      <w:r w:rsidRPr="00692CD2">
        <w:rPr>
          <w:rFonts w:ascii="Arial" w:eastAsia="Times New Roman" w:hAnsi="Arial" w:cs="Arial"/>
          <w:color w:val="000000"/>
          <w:sz w:val="20"/>
          <w:szCs w:val="20"/>
        </w:rPr>
        <w:t>i</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income-tax including any surcharge thereon;</w:t>
      </w:r>
    </w:p>
    <w:p w:rsidR="00692CD2" w:rsidRPr="00692CD2" w:rsidRDefault="00692CD2" w:rsidP="00692CD2">
      <w:pPr>
        <w:spacing w:before="100" w:line="240" w:lineRule="auto"/>
        <w:ind w:left="1800" w:hanging="1800"/>
        <w:jc w:val="both"/>
        <w:rPr>
          <w:rFonts w:ascii="Calibri" w:eastAsia="Times New Roman" w:hAnsi="Calibri" w:cs="Calibri"/>
          <w:color w:val="000000"/>
        </w:rPr>
      </w:pPr>
      <w:r w:rsidRPr="00692CD2">
        <w:rPr>
          <w:rFonts w:ascii="Times New Roman" w:eastAsia="Times New Roman" w:hAnsi="Times New Roman" w:cs="Times New Roman"/>
          <w:color w:val="000000"/>
          <w:sz w:val="14"/>
          <w:szCs w:val="14"/>
        </w:rPr>
        <w:lastRenderedPageBreak/>
        <w:t>                     </w:t>
      </w:r>
      <w:r w:rsidRPr="00692CD2">
        <w:rPr>
          <w:rFonts w:ascii="Arial" w:eastAsia="Times New Roman" w:hAnsi="Arial" w:cs="Arial"/>
          <w:color w:val="000000"/>
          <w:sz w:val="20"/>
          <w:szCs w:val="20"/>
        </w:rPr>
        <w:t>ii.</w:t>
      </w:r>
      <w:r w:rsidRPr="00692CD2">
        <w:rPr>
          <w:rFonts w:ascii="Times New Roman" w:eastAsia="Times New Roman" w:hAnsi="Times New Roman" w:cs="Times New Roman"/>
          <w:color w:val="000000"/>
          <w:sz w:val="14"/>
          <w:szCs w:val="14"/>
        </w:rPr>
        <w:t>                </w:t>
      </w:r>
      <w:proofErr w:type="gramStart"/>
      <w:r w:rsidRPr="00692CD2">
        <w:rPr>
          <w:rFonts w:ascii="Arial" w:eastAsia="Times New Roman" w:hAnsi="Arial" w:cs="Arial"/>
          <w:color w:val="000000"/>
          <w:sz w:val="20"/>
          <w:szCs w:val="20"/>
        </w:rPr>
        <w:t>the</w:t>
      </w:r>
      <w:proofErr w:type="gramEnd"/>
      <w:r w:rsidRPr="00692CD2">
        <w:rPr>
          <w:rFonts w:ascii="Arial" w:eastAsia="Times New Roman" w:hAnsi="Arial" w:cs="Arial"/>
          <w:color w:val="000000"/>
          <w:sz w:val="20"/>
          <w:szCs w:val="20"/>
        </w:rPr>
        <w:t xml:space="preserve"> surtax;</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w:t>
      </w:r>
      <w:proofErr w:type="gramStart"/>
      <w:r w:rsidRPr="00692CD2">
        <w:rPr>
          <w:rFonts w:ascii="Arial" w:eastAsia="Times New Roman" w:hAnsi="Arial" w:cs="Arial"/>
          <w:color w:val="000000"/>
          <w:sz w:val="20"/>
          <w:szCs w:val="20"/>
        </w:rPr>
        <w:t>hereinafter</w:t>
      </w:r>
      <w:proofErr w:type="gramEnd"/>
      <w:r w:rsidRPr="00692CD2">
        <w:rPr>
          <w:rFonts w:ascii="Arial" w:eastAsia="Times New Roman" w:hAnsi="Arial" w:cs="Arial"/>
          <w:color w:val="000000"/>
          <w:sz w:val="20"/>
          <w:szCs w:val="20"/>
        </w:rPr>
        <w:t xml:space="preserve"> referred to as "Indian tax").</w:t>
      </w:r>
    </w:p>
    <w:p w:rsidR="00692CD2" w:rsidRPr="00692CD2" w:rsidRDefault="00692CD2" w:rsidP="00692CD2">
      <w:pPr>
        <w:spacing w:before="100" w:line="240" w:lineRule="auto"/>
        <w:ind w:left="720" w:hanging="36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This Convention shall also apply to any identical or substantially similar taxes which are imposed by either Contracting State after the date of signature of the present Convention in addition to, or in place of, the taxes referred to in paragraph (1). The competent authorities of the Contracting States shall notify each other of any substantial changes which are made in their respective taxation laws.</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CHAPTER II</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DEFINITIONS</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3</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GENERAL DEFINITIONS</w:t>
      </w:r>
    </w:p>
    <w:p w:rsidR="00692CD2" w:rsidRPr="00692CD2" w:rsidRDefault="00692CD2" w:rsidP="00692CD2">
      <w:pPr>
        <w:spacing w:before="100" w:line="240" w:lineRule="auto"/>
        <w:ind w:left="720" w:hanging="360"/>
        <w:jc w:val="both"/>
        <w:rPr>
          <w:rFonts w:ascii="Calibri" w:eastAsia="Times New Roman" w:hAnsi="Calibri" w:cs="Calibri"/>
          <w:color w:val="000000"/>
        </w:rPr>
      </w:pPr>
      <w:r w:rsidRPr="00692CD2">
        <w:rPr>
          <w:rFonts w:ascii="Arial" w:eastAsia="Times New Roman" w:hAnsi="Arial" w:cs="Arial"/>
          <w:color w:val="000000"/>
          <w:sz w:val="20"/>
          <w:szCs w:val="20"/>
        </w:rPr>
        <w:t>1.</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In this Convention, unless the context otherwise requires:</w:t>
      </w:r>
    </w:p>
    <w:p w:rsidR="00692CD2" w:rsidRPr="00692CD2" w:rsidRDefault="00692CD2" w:rsidP="00692CD2">
      <w:pPr>
        <w:spacing w:before="100" w:line="240" w:lineRule="auto"/>
        <w:ind w:left="108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a</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 Bangladesh " means the People's Republic of Bangladesh;</w:t>
      </w:r>
    </w:p>
    <w:p w:rsidR="00692CD2" w:rsidRPr="00692CD2" w:rsidRDefault="00692CD2" w:rsidP="00692CD2">
      <w:pPr>
        <w:spacing w:before="100" w:line="240" w:lineRule="auto"/>
        <w:ind w:left="108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b</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"India" means the Republic of India;</w:t>
      </w:r>
    </w:p>
    <w:p w:rsidR="00692CD2" w:rsidRPr="00692CD2" w:rsidRDefault="00692CD2" w:rsidP="00692CD2">
      <w:pPr>
        <w:spacing w:before="100" w:line="240" w:lineRule="auto"/>
        <w:ind w:left="108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c</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terms " a Contracting State " and " the other Contracting State " mean Bangladesh or India as the context requires;</w:t>
      </w:r>
    </w:p>
    <w:p w:rsidR="00692CD2" w:rsidRPr="00692CD2" w:rsidRDefault="00692CD2" w:rsidP="00692CD2">
      <w:pPr>
        <w:spacing w:before="100" w:line="240" w:lineRule="auto"/>
        <w:ind w:left="108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d</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 tax " means Bangladesh tax or Indian tax, as the context requires;</w:t>
      </w:r>
    </w:p>
    <w:p w:rsidR="00692CD2" w:rsidRPr="00692CD2" w:rsidRDefault="00692CD2" w:rsidP="00692CD2">
      <w:pPr>
        <w:spacing w:before="100" w:line="240" w:lineRule="auto"/>
        <w:ind w:left="108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e</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 person " includes an individual, a company and any other entity which is treated as a taxable unit under the tax laws in force in the respective Contracting States;</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f.</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 company " means any company, body corporate or any other entity which is treated as a company under the tax laws of the respective Contracting States;</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g.</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terms " resident of a Contracting State " and " resident of the other Contracting State " mean a person who is a resident of Bangladesh or a person who is a resident of India, as the context requires;</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h.</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terms " enterprise of a Contracting State " and " enterprise of the other Contracting State " mean respectively an enterprise carried on by a resident of a Contracting State and an enterprise carried on by a resident of the other Contracting State;</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i.</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"nationals" means all individuals possessing the nationality of the respective Contracting States and also all legal persons, partnerships and associations deriving their status as such from the law in force in the respective Contracting States;</w:t>
      </w:r>
    </w:p>
    <w:p w:rsidR="00692CD2" w:rsidRPr="00692CD2" w:rsidRDefault="00692CD2" w:rsidP="00692CD2">
      <w:pPr>
        <w:spacing w:before="100" w:line="240" w:lineRule="auto"/>
        <w:ind w:left="108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j</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 competent authority " means in the case of Bangladesh, the National Board of Revenue or their authorised representative and in the case of India, the Central Government in the Ministry of Finance (Department of Revenue) or their authorised representative;</w:t>
      </w:r>
    </w:p>
    <w:p w:rsidR="00692CD2" w:rsidRPr="00692CD2" w:rsidRDefault="00692CD2" w:rsidP="00692CD2">
      <w:pPr>
        <w:spacing w:before="100" w:line="240" w:lineRule="auto"/>
        <w:ind w:left="108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k</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 international traffic " means any transport by a ship or aircraft operated by an enterprise of a Contracting State, except when the ship or aircraft is operated solely between places in the other Contracting State;</w:t>
      </w:r>
    </w:p>
    <w:p w:rsidR="00692CD2" w:rsidRPr="00692CD2" w:rsidRDefault="00692CD2" w:rsidP="00692CD2">
      <w:pPr>
        <w:spacing w:before="100" w:line="240" w:lineRule="auto"/>
        <w:ind w:left="720" w:hanging="36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As regards the application of this Convention by a Contracting State any term not otherwise defined shall, unless the context otherwise requires, have the meaning which it has under the laws of that Contracting State relating to the taxes which are the subject of this Convention.</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lastRenderedPageBreak/>
        <w:t>Article 4</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RESIDENT</w:t>
      </w:r>
    </w:p>
    <w:p w:rsidR="00692CD2" w:rsidRPr="00692CD2" w:rsidRDefault="00692CD2" w:rsidP="00692CD2">
      <w:pPr>
        <w:spacing w:before="100" w:line="240" w:lineRule="auto"/>
        <w:ind w:left="720" w:hanging="360"/>
        <w:jc w:val="both"/>
        <w:rPr>
          <w:rFonts w:ascii="Calibri" w:eastAsia="Times New Roman" w:hAnsi="Calibri" w:cs="Calibri"/>
          <w:color w:val="000000"/>
        </w:rPr>
      </w:pPr>
      <w:r w:rsidRPr="00692CD2">
        <w:rPr>
          <w:rFonts w:ascii="Arial" w:eastAsia="Times New Roman" w:hAnsi="Arial" w:cs="Arial"/>
          <w:color w:val="000000"/>
          <w:sz w:val="20"/>
          <w:szCs w:val="20"/>
        </w:rPr>
        <w:t>1.</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For the purposes of this Convention, the term " resident of a Contracting State " means any person who, under the law of that State, is liable to taxation therein by reason of his domicile, residence, place of management or any other criterion of a similar nature.</w:t>
      </w:r>
    </w:p>
    <w:p w:rsidR="00692CD2" w:rsidRPr="00692CD2" w:rsidRDefault="00692CD2" w:rsidP="00692CD2">
      <w:pPr>
        <w:spacing w:before="100" w:line="240" w:lineRule="auto"/>
        <w:ind w:left="720" w:hanging="36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Where by reason of the provisions of paragraph (1) an individual is a resident of both Contracting States, then his case shall be determined in accordance with the following rules:</w:t>
      </w:r>
    </w:p>
    <w:p w:rsidR="00692CD2" w:rsidRPr="00692CD2" w:rsidRDefault="00692CD2" w:rsidP="00692CD2">
      <w:pPr>
        <w:spacing w:before="100" w:line="240" w:lineRule="auto"/>
        <w:ind w:left="1440" w:hanging="360"/>
        <w:jc w:val="both"/>
        <w:rPr>
          <w:rFonts w:ascii="Calibri" w:eastAsia="Times New Roman" w:hAnsi="Calibri" w:cs="Calibri"/>
          <w:color w:val="000000"/>
        </w:rPr>
      </w:pPr>
      <w:r w:rsidRPr="00692CD2">
        <w:rPr>
          <w:rFonts w:ascii="Arial" w:eastAsia="Times New Roman" w:hAnsi="Arial" w:cs="Arial"/>
          <w:color w:val="000000"/>
          <w:sz w:val="20"/>
          <w:szCs w:val="20"/>
        </w:rPr>
        <w:t>a.</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the closest (centre of vital interests);</w:t>
      </w:r>
    </w:p>
    <w:p w:rsidR="00692CD2" w:rsidRPr="00692CD2" w:rsidRDefault="00692CD2" w:rsidP="00692CD2">
      <w:pPr>
        <w:spacing w:before="100" w:line="240" w:lineRule="auto"/>
        <w:ind w:left="1440" w:hanging="360"/>
        <w:jc w:val="both"/>
        <w:rPr>
          <w:rFonts w:ascii="Calibri" w:eastAsia="Times New Roman" w:hAnsi="Calibri" w:cs="Calibri"/>
          <w:color w:val="000000"/>
        </w:rPr>
      </w:pPr>
      <w:r w:rsidRPr="00692CD2">
        <w:rPr>
          <w:rFonts w:ascii="Arial" w:eastAsia="Times New Roman" w:hAnsi="Arial" w:cs="Arial"/>
          <w:color w:val="000000"/>
          <w:sz w:val="20"/>
          <w:szCs w:val="20"/>
        </w:rPr>
        <w:t>b.</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 xml:space="preserve">If the Contracting State in which he has his centre of vital interests cannot be determined, or if he has not a permanent home available to him in either Contracting State, he shall be deemed to be a resident of the Contracting State in which he has </w:t>
      </w:r>
      <w:proofErr w:type="gramStart"/>
      <w:r w:rsidRPr="00692CD2">
        <w:rPr>
          <w:rFonts w:ascii="Arial" w:eastAsia="Times New Roman" w:hAnsi="Arial" w:cs="Arial"/>
          <w:color w:val="000000"/>
          <w:sz w:val="20"/>
          <w:szCs w:val="20"/>
        </w:rPr>
        <w:t>an</w:t>
      </w:r>
      <w:proofErr w:type="gramEnd"/>
      <w:r w:rsidRPr="00692CD2">
        <w:rPr>
          <w:rFonts w:ascii="Arial" w:eastAsia="Times New Roman" w:hAnsi="Arial" w:cs="Arial"/>
          <w:color w:val="000000"/>
          <w:sz w:val="20"/>
          <w:szCs w:val="20"/>
        </w:rPr>
        <w:t xml:space="preserve"> habitual abode;</w:t>
      </w:r>
    </w:p>
    <w:p w:rsidR="00692CD2" w:rsidRPr="00692CD2" w:rsidRDefault="00692CD2" w:rsidP="00692CD2">
      <w:pPr>
        <w:spacing w:before="100" w:line="240" w:lineRule="auto"/>
        <w:ind w:left="1440" w:hanging="360"/>
        <w:jc w:val="both"/>
        <w:rPr>
          <w:rFonts w:ascii="Calibri" w:eastAsia="Times New Roman" w:hAnsi="Calibri" w:cs="Calibri"/>
          <w:color w:val="000000"/>
        </w:rPr>
      </w:pPr>
      <w:r w:rsidRPr="00692CD2">
        <w:rPr>
          <w:rFonts w:ascii="Arial" w:eastAsia="Times New Roman" w:hAnsi="Arial" w:cs="Arial"/>
          <w:color w:val="000000"/>
          <w:sz w:val="20"/>
          <w:szCs w:val="20"/>
        </w:rPr>
        <w:t>c.</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 xml:space="preserve">If he has </w:t>
      </w:r>
      <w:proofErr w:type="gramStart"/>
      <w:r w:rsidRPr="00692CD2">
        <w:rPr>
          <w:rFonts w:ascii="Arial" w:eastAsia="Times New Roman" w:hAnsi="Arial" w:cs="Arial"/>
          <w:color w:val="000000"/>
          <w:sz w:val="20"/>
          <w:szCs w:val="20"/>
        </w:rPr>
        <w:t>an</w:t>
      </w:r>
      <w:proofErr w:type="gramEnd"/>
      <w:r w:rsidRPr="00692CD2">
        <w:rPr>
          <w:rFonts w:ascii="Arial" w:eastAsia="Times New Roman" w:hAnsi="Arial" w:cs="Arial"/>
          <w:color w:val="000000"/>
          <w:sz w:val="20"/>
          <w:szCs w:val="20"/>
        </w:rPr>
        <w:t xml:space="preserve"> habitual abode in both Contracting States or in neither of them he shall be deemed to be a resident of the Contracting State of which he is a national;</w:t>
      </w:r>
    </w:p>
    <w:p w:rsidR="00692CD2" w:rsidRPr="00692CD2" w:rsidRDefault="00692CD2" w:rsidP="00692CD2">
      <w:pPr>
        <w:spacing w:before="100" w:line="240" w:lineRule="auto"/>
        <w:ind w:left="1440" w:hanging="360"/>
        <w:jc w:val="both"/>
        <w:rPr>
          <w:rFonts w:ascii="Calibri" w:eastAsia="Times New Roman" w:hAnsi="Calibri" w:cs="Calibri"/>
          <w:color w:val="000000"/>
        </w:rPr>
      </w:pPr>
      <w:r w:rsidRPr="00692CD2">
        <w:rPr>
          <w:rFonts w:ascii="Arial" w:eastAsia="Times New Roman" w:hAnsi="Arial" w:cs="Arial"/>
          <w:color w:val="000000"/>
          <w:sz w:val="20"/>
          <w:szCs w:val="20"/>
        </w:rPr>
        <w:t>d.</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692CD2" w:rsidRPr="00692CD2" w:rsidRDefault="00692CD2" w:rsidP="00692CD2">
      <w:pPr>
        <w:spacing w:before="100" w:line="240" w:lineRule="auto"/>
        <w:ind w:left="720" w:hanging="360"/>
        <w:jc w:val="both"/>
        <w:rPr>
          <w:rFonts w:ascii="Calibri" w:eastAsia="Times New Roman" w:hAnsi="Calibri" w:cs="Calibri"/>
          <w:color w:val="000000"/>
        </w:rPr>
      </w:pPr>
      <w:r w:rsidRPr="00692CD2">
        <w:rPr>
          <w:rFonts w:ascii="Arial" w:eastAsia="Times New Roman" w:hAnsi="Arial" w:cs="Arial"/>
          <w:color w:val="000000"/>
          <w:sz w:val="20"/>
          <w:szCs w:val="20"/>
        </w:rPr>
        <w:t>3.</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Contracting State in which its place of effective management is situated.</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5</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PERMANENT ESTABLISHMENT</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1.</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For the purposes of this Convention, the term "permanent establishment" means a fixed place of business in which the business of the enterprise is wholly or partly carried on.</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"permanent establishment" shall include especially:</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a</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 place of management;</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b</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 branch;</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c</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an office;</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d</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 factory;</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e</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 workshop;</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f</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 warehouse;</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g</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 mine, quarry or other place of extraction of natural resources;</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h</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 building site or construction or assembly project or the like which exists for more than 183 days.</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3.</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 xml:space="preserve">The term </w:t>
      </w:r>
      <w:proofErr w:type="gramStart"/>
      <w:r w:rsidRPr="00692CD2">
        <w:rPr>
          <w:rFonts w:ascii="Arial" w:eastAsia="Times New Roman" w:hAnsi="Arial" w:cs="Arial"/>
          <w:color w:val="000000"/>
          <w:sz w:val="20"/>
          <w:szCs w:val="20"/>
        </w:rPr>
        <w:t>" permanent</w:t>
      </w:r>
      <w:proofErr w:type="gramEnd"/>
      <w:r w:rsidRPr="00692CD2">
        <w:rPr>
          <w:rFonts w:ascii="Arial" w:eastAsia="Times New Roman" w:hAnsi="Arial" w:cs="Arial"/>
          <w:color w:val="000000"/>
          <w:sz w:val="20"/>
          <w:szCs w:val="20"/>
        </w:rPr>
        <w:t xml:space="preserve"> establishment " shall not be deemed to include:</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lastRenderedPageBreak/>
        <w:t>a</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use of facilities solely for the purposes of storage or display of goods or merchandise belonging to the enterprise;</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b</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maintenance of a stock of goods or merchandise belonging to the enterprise solely for the purpose of storage or display;</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c</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maintenance of a stock of goods or merchandise belonging to the enterprise solely for the purpose of processing by another enterprise;</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d</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e</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4.</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Notwithstanding the provisions of paragraphs (1) and (2), where a person--other than an agent of an independent status to whom paragraph (5) applies--is acting in a Contracting State on behalf of an enterprise of the other Contracting State, that enterprise shall be deemed to have a permanent establishment in the first-mentioned State, if--</w:t>
      </w:r>
    </w:p>
    <w:p w:rsidR="00692CD2" w:rsidRPr="00692CD2" w:rsidRDefault="00692CD2" w:rsidP="00692CD2">
      <w:pPr>
        <w:spacing w:before="100" w:line="240" w:lineRule="auto"/>
        <w:ind w:left="1440" w:hanging="360"/>
        <w:jc w:val="both"/>
        <w:rPr>
          <w:rFonts w:ascii="Calibri" w:eastAsia="Times New Roman" w:hAnsi="Calibri" w:cs="Calibri"/>
          <w:color w:val="000000"/>
        </w:rPr>
      </w:pPr>
      <w:r w:rsidRPr="00692CD2">
        <w:rPr>
          <w:rFonts w:ascii="Arial" w:eastAsia="Times New Roman" w:hAnsi="Arial" w:cs="Arial"/>
          <w:color w:val="000000"/>
          <w:sz w:val="20"/>
          <w:szCs w:val="20"/>
        </w:rPr>
        <w:t>a.</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he has, and habitually exercises, in the first-mentioned State a general authority to conclude contracts for or on behalf of the enterprise, unless his activities are limited to the purchase of goods or merchandise for the enterprise, or</w:t>
      </w:r>
    </w:p>
    <w:p w:rsidR="00692CD2" w:rsidRPr="00692CD2" w:rsidRDefault="00692CD2" w:rsidP="00692CD2">
      <w:pPr>
        <w:spacing w:before="100" w:line="240" w:lineRule="auto"/>
        <w:ind w:left="1440" w:hanging="360"/>
        <w:jc w:val="both"/>
        <w:rPr>
          <w:rFonts w:ascii="Calibri" w:eastAsia="Times New Roman" w:hAnsi="Calibri" w:cs="Calibri"/>
          <w:color w:val="000000"/>
        </w:rPr>
      </w:pPr>
      <w:r w:rsidRPr="00692CD2">
        <w:rPr>
          <w:rFonts w:ascii="Arial" w:eastAsia="Times New Roman" w:hAnsi="Arial" w:cs="Arial"/>
          <w:color w:val="000000"/>
          <w:sz w:val="20"/>
          <w:szCs w:val="20"/>
        </w:rPr>
        <w:t>b.</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he habitually maintains in the first-mentioned State a stock of goods or merchandise belonging to the enterprise from which that person regularly delivers goods or merchandise for or on behalf of the enterprise, or</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c</w:t>
      </w:r>
      <w:proofErr w:type="gramEnd"/>
      <w:r w:rsidRPr="00692CD2">
        <w:rPr>
          <w:rFonts w:ascii="Arial" w:eastAsia="Times New Roman" w:hAnsi="Arial" w:cs="Arial"/>
          <w:color w:val="000000"/>
          <w:sz w:val="20"/>
          <w:szCs w:val="20"/>
        </w:rPr>
        <w:t>.</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he habitually secures orders in the first-mentioned State, wholly or almost wholly, for the enterprise itself, or for the enterprise or other enterprises which are controlled by it or have controlling interest in it.</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5.</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and their activities do not fall within the scope of paragraph (4</w:t>
      </w:r>
      <w:proofErr w:type="gramStart"/>
      <w:r w:rsidRPr="00692CD2">
        <w:rPr>
          <w:rFonts w:ascii="Arial" w:eastAsia="Times New Roman" w:hAnsi="Arial" w:cs="Arial"/>
          <w:color w:val="000000"/>
          <w:sz w:val="20"/>
          <w:szCs w:val="20"/>
        </w:rPr>
        <w:t>)(</w:t>
      </w:r>
      <w:proofErr w:type="gramEnd"/>
      <w:r w:rsidRPr="00692CD2">
        <w:rPr>
          <w:rFonts w:ascii="Arial" w:eastAsia="Times New Roman" w:hAnsi="Arial" w:cs="Arial"/>
          <w:color w:val="000000"/>
          <w:sz w:val="20"/>
          <w:szCs w:val="20"/>
        </w:rPr>
        <w:t>c) above.</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6.</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make either company a permanent establishment of the other.</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7.</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An enterprise of a Contracting State shall be deemed to have a permanent establishment in the other Contracting State if it carries on a business which consists of providing the services of public entertainers (such as stage, motion picture, radio or television artistes and musicians) or athletes in that other Contracting State unless such services are provided within the scope of a cultural or sports exchange programme agreed or by both the Contracting States.</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CHAPTER III</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TAXATION OF INCOME</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6</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INCOME FROM IMMOVABLE PROPERTY</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lastRenderedPageBreak/>
        <w:t>1.</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Income from immovable property shall be taxable only in the Contracting State in which such property is situated.</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 xml:space="preserve">The term </w:t>
      </w:r>
      <w:proofErr w:type="gramStart"/>
      <w:r w:rsidRPr="00692CD2">
        <w:rPr>
          <w:rFonts w:ascii="Arial" w:eastAsia="Times New Roman" w:hAnsi="Arial" w:cs="Arial"/>
          <w:color w:val="000000"/>
          <w:sz w:val="20"/>
          <w:szCs w:val="20"/>
        </w:rPr>
        <w:t>" immovable</w:t>
      </w:r>
      <w:proofErr w:type="gramEnd"/>
      <w:r w:rsidRPr="00692CD2">
        <w:rPr>
          <w:rFonts w:ascii="Arial" w:eastAsia="Times New Roman" w:hAnsi="Arial" w:cs="Arial"/>
          <w:color w:val="000000"/>
          <w:sz w:val="20"/>
          <w:szCs w:val="20"/>
        </w:rPr>
        <w:t xml:space="preserve"> property " shall be defined in accordance with the law and usage (having the force of law) of the Contracting State in which the property in question is situated. The term shall in any case include property accessory to immovable property, livestock and equipment used in agriculture, forestry and fishery rights to which the provisions of general law respecting landed property apply, usufruct of immovable property and rights to variable or fixed payments in cash or kind as consideration for the working of, or the right to work, mineral deposits, sources and other natural resources; ships and aircraft shall not be regarded as immovable property.</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3.</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provisions of paragraph (1) shall apply to income derived from the direct use, letting, or use in any other form of immovable property.</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4.</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7</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BUSINESS PROFITS</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1.</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then so much of the profits of the enterprise as is attributable to that permanent establishment shall be taxable only in that other Contracting State.</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perrmanent establishment is incapable of determination or the ascertainment thereof presents exceptional difficulties, the profits attributable to the permanent establishment may be computed on a reasonable basis.</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3.</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In the determination of the profits of a permanent establishment, there shall be allowed as deductions expenses which are incurred for the purpose of the permanent establishment including executive and general administrative expenses so incurred, whether in the State in which the permanent establishment is situated or elsewhere, but this does not include any expenses which, under the law of that State, would not be allowed to be deducted by an enterprise of that State.</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4.</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laid down in this Article.</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5.</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lastRenderedPageBreak/>
        <w:t>6.</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For the purpose of the preceding paragraphs, the profits to be attributed to the permanent establishment shall be determined by the same method year by year unless there is good and sufficient reason to the contrary.</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7.</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8</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AIR TRANSPORT</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1.</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Profits derived by an enterprise of a Contracting State from the operation of aircraft in international traffic shall be taxable only in that Contracting State.</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provisions of paragraph (1) shall likewise apply in respect of income derived from participation in pools of any kind by enterprises engaged in air transport.</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9</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SHIPPING</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1.</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 xml:space="preserve">Profits of an enterprise of a Contracting State derived from the other Contracting State from the operation of ships in international traffic may be taxed in that other Contracting State, but the tax chargeable in that other Contracting State on such income shall be reduced by an amount equal to fifty per cent. </w:t>
      </w:r>
      <w:proofErr w:type="gramStart"/>
      <w:r w:rsidRPr="00692CD2">
        <w:rPr>
          <w:rFonts w:ascii="Arial" w:eastAsia="Times New Roman" w:hAnsi="Arial" w:cs="Arial"/>
          <w:color w:val="000000"/>
          <w:sz w:val="20"/>
          <w:szCs w:val="20"/>
        </w:rPr>
        <w:t>of</w:t>
      </w:r>
      <w:proofErr w:type="gramEnd"/>
      <w:r w:rsidRPr="00692CD2">
        <w:rPr>
          <w:rFonts w:ascii="Arial" w:eastAsia="Times New Roman" w:hAnsi="Arial" w:cs="Arial"/>
          <w:color w:val="000000"/>
          <w:sz w:val="20"/>
          <w:szCs w:val="20"/>
        </w:rPr>
        <w:t xml:space="preserve"> such tax.</w:t>
      </w:r>
    </w:p>
    <w:p w:rsidR="00692CD2" w:rsidRPr="00692CD2" w:rsidRDefault="00692CD2" w:rsidP="00692CD2">
      <w:pPr>
        <w:spacing w:before="100" w:line="240" w:lineRule="auto"/>
        <w:ind w:left="1440" w:hanging="72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provisions of paragraph 1 shall also apply to profits derived from the participation in a pool, a joint business or an international operating agency.</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10</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ASSOCIATED ENTERPRISES</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Where --</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1.</w:t>
      </w:r>
      <w:r w:rsidRPr="00692CD2">
        <w:rPr>
          <w:rFonts w:ascii="Times New Roman" w:eastAsia="Times New Roman" w:hAnsi="Times New Roman" w:cs="Times New Roman"/>
          <w:color w:val="000000"/>
          <w:sz w:val="14"/>
          <w:szCs w:val="14"/>
        </w:rPr>
        <w:t>     </w:t>
      </w:r>
      <w:proofErr w:type="gramStart"/>
      <w:r w:rsidRPr="00692CD2">
        <w:rPr>
          <w:rFonts w:ascii="Arial" w:eastAsia="Times New Roman" w:hAnsi="Arial" w:cs="Arial"/>
          <w:color w:val="000000"/>
          <w:sz w:val="20"/>
          <w:szCs w:val="20"/>
        </w:rPr>
        <w:t>an</w:t>
      </w:r>
      <w:proofErr w:type="gramEnd"/>
      <w:r w:rsidRPr="00692CD2">
        <w:rPr>
          <w:rFonts w:ascii="Arial" w:eastAsia="Times New Roman" w:hAnsi="Arial" w:cs="Arial"/>
          <w:color w:val="000000"/>
          <w:sz w:val="20"/>
          <w:szCs w:val="20"/>
        </w:rPr>
        <w:t xml:space="preserve"> enterprise of a Contracting State participates directly or indirectly in the management, control or capital of an enterprise of the other Contracting State, or</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proofErr w:type="gramStart"/>
      <w:r w:rsidRPr="00692CD2">
        <w:rPr>
          <w:rFonts w:ascii="Arial" w:eastAsia="Times New Roman" w:hAnsi="Arial" w:cs="Arial"/>
          <w:color w:val="000000"/>
          <w:sz w:val="20"/>
          <w:szCs w:val="20"/>
        </w:rPr>
        <w:t>the</w:t>
      </w:r>
      <w:proofErr w:type="gramEnd"/>
      <w:r w:rsidRPr="00692CD2">
        <w:rPr>
          <w:rFonts w:ascii="Arial" w:eastAsia="Times New Roman" w:hAnsi="Arial" w:cs="Arial"/>
          <w:color w:val="000000"/>
          <w:sz w:val="20"/>
          <w:szCs w:val="20"/>
        </w:rPr>
        <w:t xml:space="preserve"> same persons participate directly or indirectly in the management, control or capital of an enterprise of a Contracting State and an enterprise of the other Contracting State,</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Article 11</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b/>
          <w:bCs/>
          <w:color w:val="000000"/>
          <w:sz w:val="20"/>
          <w:szCs w:val="20"/>
        </w:rPr>
        <w:t>DIVIDENDS</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1.</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Dividends paid by a company which is a resident of a Contracting State to a resident of the other Contracting State may be taxed in that other Contracting State.</w:t>
      </w:r>
    </w:p>
    <w:p w:rsidR="00692CD2" w:rsidRPr="00692CD2" w:rsidRDefault="00692CD2" w:rsidP="00692CD2">
      <w:pPr>
        <w:spacing w:before="100" w:line="240" w:lineRule="auto"/>
        <w:ind w:left="1080" w:hanging="360"/>
        <w:jc w:val="both"/>
        <w:rPr>
          <w:rFonts w:ascii="Calibri" w:eastAsia="Times New Roman" w:hAnsi="Calibri" w:cs="Calibri"/>
          <w:color w:val="000000"/>
        </w:rPr>
      </w:pPr>
      <w:r w:rsidRPr="00692CD2">
        <w:rPr>
          <w:rFonts w:ascii="Arial" w:eastAsia="Times New Roman" w:hAnsi="Arial" w:cs="Arial"/>
          <w:color w:val="000000"/>
          <w:sz w:val="20"/>
          <w:szCs w:val="20"/>
        </w:rPr>
        <w:t>2.</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However, such dividends may also be taxed in the Contracting State of which the company paying the dividends is a resident and according to the laws of that Contracting State, but if the recipient is the beneficial owner of the dividends, the tax so charged shall not exceed:</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lastRenderedPageBreak/>
        <w:t>a.</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10</w:t>
      </w:r>
      <w:proofErr w:type="gramEnd"/>
      <w:r w:rsidRPr="00692CD2">
        <w:rPr>
          <w:rFonts w:ascii="Arial" w:eastAsia="Times New Roman" w:hAnsi="Arial" w:cs="Arial"/>
          <w:color w:val="000000"/>
          <w:sz w:val="20"/>
          <w:szCs w:val="20"/>
        </w:rPr>
        <w:t xml:space="preserve"> per cent. </w:t>
      </w:r>
      <w:proofErr w:type="gramStart"/>
      <w:r w:rsidRPr="00692CD2">
        <w:rPr>
          <w:rFonts w:ascii="Arial" w:eastAsia="Times New Roman" w:hAnsi="Arial" w:cs="Arial"/>
          <w:color w:val="000000"/>
          <w:sz w:val="20"/>
          <w:szCs w:val="20"/>
        </w:rPr>
        <w:t>of</w:t>
      </w:r>
      <w:proofErr w:type="gramEnd"/>
      <w:r w:rsidRPr="00692CD2">
        <w:rPr>
          <w:rFonts w:ascii="Arial" w:eastAsia="Times New Roman" w:hAnsi="Arial" w:cs="Arial"/>
          <w:color w:val="000000"/>
          <w:sz w:val="20"/>
          <w:szCs w:val="20"/>
        </w:rPr>
        <w:t xml:space="preserve"> the gross amount of the dividends if the beneficial owner is a company which holds directly at least 10 per cent. </w:t>
      </w:r>
      <w:proofErr w:type="gramStart"/>
      <w:r w:rsidRPr="00692CD2">
        <w:rPr>
          <w:rFonts w:ascii="Arial" w:eastAsia="Times New Roman" w:hAnsi="Arial" w:cs="Arial"/>
          <w:color w:val="000000"/>
          <w:sz w:val="20"/>
          <w:szCs w:val="20"/>
        </w:rPr>
        <w:t>of</w:t>
      </w:r>
      <w:proofErr w:type="gramEnd"/>
      <w:r w:rsidRPr="00692CD2">
        <w:rPr>
          <w:rFonts w:ascii="Arial" w:eastAsia="Times New Roman" w:hAnsi="Arial" w:cs="Arial"/>
          <w:color w:val="000000"/>
          <w:sz w:val="20"/>
          <w:szCs w:val="20"/>
        </w:rPr>
        <w:t xml:space="preserve"> the capital of the company paying the dividends;</w:t>
      </w:r>
    </w:p>
    <w:p w:rsidR="00692CD2" w:rsidRPr="00692CD2" w:rsidRDefault="00692CD2" w:rsidP="00692CD2">
      <w:pPr>
        <w:spacing w:before="100" w:line="240" w:lineRule="auto"/>
        <w:ind w:left="1440" w:hanging="360"/>
        <w:jc w:val="both"/>
        <w:rPr>
          <w:rFonts w:ascii="Calibri" w:eastAsia="Times New Roman" w:hAnsi="Calibri" w:cs="Calibri"/>
          <w:color w:val="000000"/>
        </w:rPr>
      </w:pPr>
      <w:proofErr w:type="gramStart"/>
      <w:r w:rsidRPr="00692CD2">
        <w:rPr>
          <w:rFonts w:ascii="Arial" w:eastAsia="Times New Roman" w:hAnsi="Arial" w:cs="Arial"/>
          <w:color w:val="000000"/>
          <w:sz w:val="20"/>
          <w:szCs w:val="20"/>
        </w:rPr>
        <w:t>b.</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15</w:t>
      </w:r>
      <w:proofErr w:type="gramEnd"/>
      <w:r w:rsidRPr="00692CD2">
        <w:rPr>
          <w:rFonts w:ascii="Arial" w:eastAsia="Times New Roman" w:hAnsi="Arial" w:cs="Arial"/>
          <w:color w:val="000000"/>
          <w:sz w:val="20"/>
          <w:szCs w:val="20"/>
        </w:rPr>
        <w:t xml:space="preserve"> per cent. </w:t>
      </w:r>
      <w:proofErr w:type="gramStart"/>
      <w:r w:rsidRPr="00692CD2">
        <w:rPr>
          <w:rFonts w:ascii="Arial" w:eastAsia="Times New Roman" w:hAnsi="Arial" w:cs="Arial"/>
          <w:color w:val="000000"/>
          <w:sz w:val="20"/>
          <w:szCs w:val="20"/>
        </w:rPr>
        <w:t>of</w:t>
      </w:r>
      <w:proofErr w:type="gramEnd"/>
      <w:r w:rsidRPr="00692CD2">
        <w:rPr>
          <w:rFonts w:ascii="Arial" w:eastAsia="Times New Roman" w:hAnsi="Arial" w:cs="Arial"/>
          <w:color w:val="000000"/>
          <w:sz w:val="20"/>
          <w:szCs w:val="20"/>
        </w:rPr>
        <w:t xml:space="preserve"> the gross amount of the dividends in all other cases.</w:t>
      </w:r>
    </w:p>
    <w:p w:rsidR="00692CD2" w:rsidRPr="00692CD2" w:rsidRDefault="00692CD2" w:rsidP="00692CD2">
      <w:pPr>
        <w:spacing w:before="100" w:line="240" w:lineRule="auto"/>
        <w:jc w:val="both"/>
        <w:rPr>
          <w:rFonts w:ascii="Calibri" w:eastAsia="Times New Roman" w:hAnsi="Calibri" w:cs="Calibri"/>
          <w:color w:val="000000"/>
        </w:rPr>
      </w:pPr>
      <w:r w:rsidRPr="00692CD2">
        <w:rPr>
          <w:rFonts w:ascii="Arial" w:eastAsia="Times New Roman" w:hAnsi="Arial" w:cs="Arial"/>
          <w:color w:val="000000"/>
          <w:sz w:val="20"/>
          <w:szCs w:val="20"/>
        </w:rPr>
        <w:t>This paragraph shall not affect the taxation of the company in respect of the profits out of which the dividends are paid.</w:t>
      </w:r>
    </w:p>
    <w:p w:rsidR="00692CD2" w:rsidRPr="00692CD2" w:rsidRDefault="00692CD2" w:rsidP="00692CD2">
      <w:pPr>
        <w:spacing w:before="100" w:line="240" w:lineRule="auto"/>
        <w:ind w:left="720" w:hanging="360"/>
        <w:jc w:val="both"/>
        <w:rPr>
          <w:rFonts w:ascii="Calibri" w:eastAsia="Times New Roman" w:hAnsi="Calibri" w:cs="Calibri"/>
          <w:color w:val="000000"/>
        </w:rPr>
      </w:pPr>
      <w:r w:rsidRPr="00692CD2">
        <w:rPr>
          <w:rFonts w:ascii="Arial" w:eastAsia="Times New Roman" w:hAnsi="Arial" w:cs="Arial"/>
          <w:color w:val="000000"/>
          <w:sz w:val="20"/>
          <w:szCs w:val="20"/>
        </w:rPr>
        <w:t>3.</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term " dividends " as used in this Article means income from shares,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692CD2" w:rsidRPr="00692CD2" w:rsidRDefault="00692CD2" w:rsidP="00692CD2">
      <w:pPr>
        <w:spacing w:before="100" w:line="240" w:lineRule="auto"/>
        <w:ind w:left="720" w:hanging="360"/>
        <w:jc w:val="both"/>
        <w:rPr>
          <w:rFonts w:ascii="Calibri" w:eastAsia="Times New Roman" w:hAnsi="Calibri" w:cs="Calibri"/>
          <w:color w:val="000000"/>
        </w:rPr>
      </w:pPr>
      <w:r w:rsidRPr="00692CD2">
        <w:rPr>
          <w:rFonts w:ascii="Arial" w:eastAsia="Times New Roman" w:hAnsi="Arial" w:cs="Arial"/>
          <w:color w:val="000000"/>
          <w:sz w:val="20"/>
          <w:szCs w:val="20"/>
        </w:rPr>
        <w:t>4.</w:t>
      </w:r>
      <w:r w:rsidRPr="00692CD2">
        <w:rPr>
          <w:rFonts w:ascii="Times New Roman" w:eastAsia="Times New Roman" w:hAnsi="Times New Roman" w:cs="Times New Roman"/>
          <w:color w:val="000000"/>
          <w:sz w:val="14"/>
          <w:szCs w:val="14"/>
        </w:rPr>
        <w:t>     </w:t>
      </w:r>
      <w:r w:rsidRPr="00692CD2">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sectPr w:rsidR="00692CD2" w:rsidRPr="00692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D2"/>
    <w:rsid w:val="00012524"/>
    <w:rsid w:val="0069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C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C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15222</Characters>
  <Application>Microsoft Office Word</Application>
  <DocSecurity>0</DocSecurity>
  <Lines>126</Lines>
  <Paragraphs>35</Paragraphs>
  <ScaleCrop>false</ScaleCrop>
  <Company/>
  <LinksUpToDate>false</LinksUpToDate>
  <CharactersWithSpaces>17857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2019-07-23T06:15:00Z</dcterms:created>
  <dcterms:modified xsi:type="dcterms:W3CDTF">2019-07-23T06:15:00Z</dcterms:modified>
</cp:coreProperties>
</file>